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ilename1.htm"/>
      <w:bookmarkStart w:id="1" w:name="ksfilename1"/>
      <w:bookmarkEnd w:id="0"/>
      <w:bookmarkEnd w:id="1"/>
      <w:r>
        <w:rPr/>
        <w:drawing>
          <wp:inline distT="0" distB="0" distL="0" distR="0">
            <wp:extent cx="23526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800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May 21,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United States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Energy &amp; Transportation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Purcell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Request for Acceleration of Effectiveness of Registration Statement on Form S-3 (File No. 333-295905) of KLX Energy Services Holdings,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On behalf of KLX Energy Services Holdings, Inc., and pursuant to Rule 461 under the Securities Act of 1933, as amended, the undersigned hereby requests that the effective date of the above-referenced Registration Statement be accelerated so that it may become effective at 4:00 p.m., Washington, D.C. time, on May 22, 2026, or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assistance in this matter. If you need any additional information, please contact Sarah K. Morgan of Vinson &amp; Elkins L.L.P. at (713) 758-2977 or Katherine Terrell Frank of Vinson &amp; Elkins L.L.P. at (214) 220-7869.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352675"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52675" cy="800100"/>
                    </a:xfrm>
                    <a:prstGeom prst="rect">
                      <a:avLst/>
                    </a:prstGeom>
                  </pic:spPr>
                </pic:pic>
              </a:graphicData>
            </a:graphic>
          </wp:inline>
        </w:drawing>
      </w:r>
      <w:r>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KLX Energy Services Holdings, Inc.</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Max L. Bouthillette</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Max L. Bouthillette</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Executive Vice President, General Counsel,</w:t>
            </w:r>
          </w:p>
        </w:tc>
      </w:tr>
      <w:tr>
        <w:trPr/>
        <w:tc>
          <w:tcPr>
            <w:tcW w:w="6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Chief Compliance Officer and Corporate Secretary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Sarah K. Morgan, Vinson &amp; Elkins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Katherine Terrell Frank, Vinson &amp; Elkins L.L.P.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ACCELERATION REQUEST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203</Words>
  <Characters>1127</Characters>
  <CharactersWithSpaces>1329</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