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86592d8k.htm"/>
      <w:bookmarkStart w:id="1" w:name="ksd28659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001-38609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36-4904146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3040 Post Oak Boulevard, 15th Floor</w:t>
      </w:r>
    </w:p>
    <w:p>
      <w:pPr>
        <w:pStyle w:val="TextBody"/>
        <w:bidi w:val="0"/>
        <w:spacing w:before="0" w:after="0"/>
        <w:jc w:val="center"/>
        <w:rPr>
          <w:rFonts w:ascii="Times New Roman" w:hAnsi="Times New Roman"/>
          <w:b/>
          <w:sz w:val="20"/>
        </w:rPr>
      </w:pPr>
      <w:r>
        <w:rPr>
          <w:rFonts w:ascii="Times New Roman" w:hAnsi="Times New Roman"/>
          <w:b/>
          <w:sz w:val="20"/>
        </w:rPr>
        <w:t>Houston, Texas 77056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(832) 844-1015</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05" w:type="dxa"/>
        <w:jc w:val="left"/>
        <w:tblInd w:w="0" w:type="dxa"/>
        <w:tblLayout w:type="fixed"/>
        <w:tblCellMar>
          <w:top w:w="0" w:type="dxa"/>
          <w:left w:w="0" w:type="dxa"/>
          <w:bottom w:w="0" w:type="dxa"/>
          <w:right w:w="0" w:type="dxa"/>
        </w:tblCellMar>
      </w:tblPr>
      <w:tblGrid>
        <w:gridCol w:w="3185"/>
        <w:gridCol w:w="60"/>
        <w:gridCol w:w="1340"/>
        <w:gridCol w:w="60"/>
        <w:gridCol w:w="32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8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KLXE</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Backstop Agreement </w:t>
      </w:r>
    </w:p>
    <w:p>
      <w:pPr>
        <w:pStyle w:val="TextBody"/>
        <w:bidi w:val="0"/>
        <w:spacing w:before="120" w:after="0"/>
        <w:jc w:val="left"/>
        <w:rPr>
          <w:rFonts w:ascii="Times New Roman" w:hAnsi="Times New Roman"/>
          <w:sz w:val="20"/>
        </w:rPr>
      </w:pPr>
      <w:r>
        <w:rPr>
          <w:rFonts w:ascii="Times New Roman" w:hAnsi="Times New Roman"/>
          <w:sz w:val="20"/>
        </w:rPr>
        <w:t>On August 6, 2026, KLX Energy Services Holdings, Inc. (the “</w:t>
      </w:r>
      <w:r>
        <w:rPr>
          <w:rFonts w:ascii="Times New Roman" w:hAnsi="Times New Roman"/>
          <w:sz w:val="20"/>
          <w:u w:val="single"/>
        </w:rPr>
        <w:t>Company</w:t>
      </w:r>
      <w:r>
        <w:rPr>
          <w:rFonts w:ascii="Times New Roman" w:hAnsi="Times New Roman"/>
          <w:sz w:val="20"/>
        </w:rPr>
        <w:t>”) entered into a Rights Offering Backstop Agreement (the “</w:t>
      </w:r>
      <w:r>
        <w:rPr>
          <w:rFonts w:ascii="Times New Roman" w:hAnsi="Times New Roman"/>
          <w:sz w:val="20"/>
          <w:u w:val="single"/>
        </w:rPr>
        <w:t>Backstop Agreement</w:t>
      </w:r>
      <w:r>
        <w:rPr>
          <w:rFonts w:ascii="Times New Roman" w:hAnsi="Times New Roman"/>
          <w:sz w:val="20"/>
        </w:rPr>
        <w:t>”) with the holders of the Company’s 2030 Notes (as defined below) (the “</w:t>
      </w:r>
      <w:r>
        <w:rPr>
          <w:rFonts w:ascii="Times New Roman" w:hAnsi="Times New Roman"/>
          <w:sz w:val="20"/>
          <w:u w:val="single"/>
        </w:rPr>
        <w:t>Backstop Parties</w:t>
      </w:r>
      <w:r>
        <w:rPr>
          <w:rFonts w:ascii="Times New Roman" w:hAnsi="Times New Roman"/>
          <w:sz w:val="20"/>
        </w:rPr>
        <w:t>”), in connection with the Company’s announced $125.0 million rights offering (the “</w:t>
      </w:r>
      <w:r>
        <w:rPr>
          <w:rFonts w:ascii="Times New Roman" w:hAnsi="Times New Roman"/>
          <w:sz w:val="20"/>
          <w:u w:val="single"/>
        </w:rPr>
        <w:t>Rights Offering</w:t>
      </w:r>
      <w:r>
        <w:rPr>
          <w:rFonts w:ascii="Times New Roman" w:hAnsi="Times New Roman"/>
          <w:sz w:val="20"/>
        </w:rPr>
        <w:t>”), to purchase aggregate Individual Backstop Commitments (as defined below) of $94.0 million. Pursuant to the Rights Offering, the Company will distribute to all eligible holders of record of its common stock, par value $0.01 per share (the “</w:t>
      </w:r>
      <w:r>
        <w:rPr>
          <w:rFonts w:ascii="Times New Roman" w:hAnsi="Times New Roman"/>
          <w:sz w:val="20"/>
          <w:u w:val="single"/>
        </w:rPr>
        <w:t>Common Stock</w:t>
      </w:r>
      <w:r>
        <w:rPr>
          <w:rFonts w:ascii="Times New Roman" w:hAnsi="Times New Roman"/>
          <w:sz w:val="20"/>
        </w:rPr>
        <w:t xml:space="preserve">”), as of 5:00 p.m., New York City time on August 21, 2026, at no cost and on a </w:t>
      </w:r>
      <w:r>
        <w:rPr>
          <w:rFonts w:ascii="Times New Roman" w:hAnsi="Times New Roman"/>
          <w:i/>
          <w:sz w:val="20"/>
        </w:rPr>
        <w:t>pro rata</w:t>
      </w:r>
      <w:r>
        <w:rPr>
          <w:rFonts w:ascii="Times New Roman" w:hAnsi="Times New Roman"/>
          <w:sz w:val="20"/>
        </w:rPr>
        <w:t xml:space="preserve"> basis, transferable subscription rights to purchase shares of Common Stock at a subscription price of $1.49 per share (the “</w:t>
      </w:r>
      <w:r>
        <w:rPr>
          <w:rFonts w:ascii="Times New Roman" w:hAnsi="Times New Roman"/>
          <w:sz w:val="20"/>
          <w:u w:val="single"/>
        </w:rPr>
        <w:t>Subscription Price</w:t>
      </w:r>
      <w:r>
        <w:rPr>
          <w:rFonts w:ascii="Times New Roman" w:hAnsi="Times New Roman"/>
          <w:sz w:val="20"/>
        </w:rPr>
        <w:t xml:space="preserve">”). For additional information related to the Rights Offering, please see the description included in Item 8.01 of this Current Report on Form 8-K. </w:t>
      </w:r>
    </w:p>
    <w:p>
      <w:pPr>
        <w:pStyle w:val="TextBody"/>
        <w:bidi w:val="0"/>
        <w:spacing w:before="240" w:after="0"/>
        <w:jc w:val="left"/>
        <w:rPr>
          <w:rFonts w:ascii="Times New Roman" w:hAnsi="Times New Roman"/>
          <w:sz w:val="20"/>
        </w:rPr>
      </w:pPr>
      <w:r>
        <w:rPr>
          <w:rFonts w:ascii="Times New Roman" w:hAnsi="Times New Roman"/>
          <w:sz w:val="20"/>
        </w:rPr>
        <w:t>Pursuant to the terms of the Backstop Agreement, and subject to the satisfaction of certain conditions thereunder, the Backstop Parties have committed, severally and not jointly, to purchase from the Company, at the Subscription Price, any unsubscribed shares in the Rights Offering following the expiration of the Rights Offering, through an exchange of the Backstop Parties’ Senior Secured Floating Rate Cash / PIK Notes due 2030 (the “</w:t>
      </w:r>
      <w:r>
        <w:rPr>
          <w:rFonts w:ascii="Times New Roman" w:hAnsi="Times New Roman"/>
          <w:sz w:val="20"/>
          <w:u w:val="single"/>
        </w:rPr>
        <w:t>2030 Notes</w:t>
      </w:r>
      <w:r>
        <w:rPr>
          <w:rFonts w:ascii="Times New Roman" w:hAnsi="Times New Roman"/>
          <w:sz w:val="20"/>
        </w:rPr>
        <w:t>”) for such shares, whereby (x) the exchange price for any exchanged 2030 Notes shall be 100% of the principal amount thereof and (y) any accrued and unpaid interest on any exchanged 2030 Notes shall also be exchanged for additional shares of Common Stock at the Subscription Price (the “</w:t>
      </w:r>
      <w:r>
        <w:rPr>
          <w:rFonts w:ascii="Times New Roman" w:hAnsi="Times New Roman"/>
          <w:sz w:val="20"/>
          <w:u w:val="single"/>
        </w:rPr>
        <w:t>Backstop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Backstop Party’s individual backstop commitment (the “</w:t>
      </w:r>
      <w:r>
        <w:rPr>
          <w:rFonts w:ascii="Times New Roman" w:hAnsi="Times New Roman"/>
          <w:sz w:val="20"/>
          <w:u w:val="single"/>
        </w:rPr>
        <w:t>Individual Backstop Commitment</w:t>
      </w:r>
      <w:r>
        <w:rPr>
          <w:rFonts w:ascii="Times New Roman" w:hAnsi="Times New Roman"/>
          <w:sz w:val="20"/>
        </w:rPr>
        <w:t xml:space="preserve">”) shall decrease automatically, as necessary, (x) to ensure that such Backstop Party, together with its affiliates, will own no more than 30.0% of the Company’s outstanding Common Stock on a pro forma fully diluted basis, including all Common Stock held by such Backstop Party and any Common Stock to be purchased pursuant to the exercise of Subscription Rights (as defined below) and the Backstop Exchange, and (y) to the extent that the aggregate gross cash proceeds received from Rights Offering subscriptions, together with the aggregate Individual Backstop Commitments, exceeds $125.0 million. Each Backstop Party shall have the right, but shall not be obligated, to increase its Individual Backstop Commitment prior to August 21, 2026. Each Backstop Party shall have the right, but shall not be obligated, to exercise all Basic Subscription Rights (as defined below) and Over-Subscription Rights (as defined below) allocated to such Backstop Party in the Rights Offering; provided that any such exercise shall be the purchase of shares of Common Stock for cash in accordance with the Rights Offering prospectus and shall not reduce the Backstop Party’s Individual Backstop Commitment. </w:t>
      </w:r>
    </w:p>
    <w:p>
      <w:pPr>
        <w:pStyle w:val="TextBody"/>
        <w:bidi w:val="0"/>
        <w:spacing w:before="240" w:after="0"/>
        <w:jc w:val="left"/>
        <w:rPr>
          <w:rFonts w:ascii="Times New Roman" w:hAnsi="Times New Roman"/>
          <w:sz w:val="20"/>
        </w:rPr>
      </w:pPr>
      <w:r>
        <w:rPr>
          <w:rFonts w:ascii="Times New Roman" w:hAnsi="Times New Roman"/>
          <w:sz w:val="20"/>
        </w:rPr>
        <w:t>Shares of Common Stock acquired by the Backstop Parties pursuant to the Backstop Exchange are not registered under the Securities Act of 1933, as amended (the “</w:t>
      </w:r>
      <w:r>
        <w:rPr>
          <w:rFonts w:ascii="Times New Roman" w:hAnsi="Times New Roman"/>
          <w:sz w:val="20"/>
          <w:u w:val="single"/>
        </w:rPr>
        <w:t>Securities Act</w:t>
      </w:r>
      <w:r>
        <w:rPr>
          <w:rFonts w:ascii="Times New Roman" w:hAnsi="Times New Roman"/>
          <w:sz w:val="20"/>
        </w:rPr>
        <w:t>”), and will be issued in a private placement exempt from registration under Section 4(a)(2) of the Securities Act. The Backstop Parties are entitled to customary registration rights in respect of such shares pursuant to a registration rights agreement to be entered into at closing (the “</w:t>
      </w:r>
      <w:r>
        <w:rPr>
          <w:rFonts w:ascii="Times New Roman" w:hAnsi="Times New Roman"/>
          <w:sz w:val="20"/>
          <w:u w:val="single"/>
        </w:rPr>
        <w:t>Registration Rights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Backstop Agreement contains customary representations and warranties from the Company, on the one hand, and from the Backstop Parties on the other hand. The Backstop Agreement also contains customary covenants and agreements by the Company and the Backstop Parties.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Backstop Exchange is subject to certain closing conditions, including consummation of the Rights Offering, the accuracy of the representations and warranties of each party (subject to certain customary exceptions), material compliance by each party with its covenants under the Backstop Agreement, execution and delivery of the Registration Rights Agreement, execution and delivery of the Indenture (as defined below) governing the 2030 Notes, and, with respect to the obligations of the Backstop Parties, aggregate Individual Backstop Commitments of at least $94.0 million.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Backstop Agreement shall terminate automatically without any action by or on behalf of any party (i) if the Rights Offering is validly terminated in accordance with its terms without being consummated or (ii) upon the parties’ mutual written consent. </w:t>
      </w:r>
    </w:p>
    <w:p>
      <w:pPr>
        <w:pStyle w:val="TextBody"/>
        <w:bidi w:val="0"/>
        <w:spacing w:before="240" w:after="0"/>
        <w:jc w:val="left"/>
        <w:rPr>
          <w:rFonts w:ascii="Times New Roman" w:hAnsi="Times New Roman"/>
          <w:sz w:val="20"/>
        </w:rPr>
      </w:pPr>
      <w:r>
        <w:rPr>
          <w:rFonts w:ascii="Times New Roman" w:hAnsi="Times New Roman"/>
          <w:sz w:val="20"/>
        </w:rPr>
        <w:t>Effective as of the closing of the Backstop Exchange, certain Backstop Parties that, together with their controlled affiliates, hold at least 10% of the Company’s outstanding Common Stock after giving effect to the closing (each, a “</w:t>
      </w:r>
      <w:r>
        <w:rPr>
          <w:rFonts w:ascii="Times New Roman" w:hAnsi="Times New Roman"/>
          <w:sz w:val="20"/>
          <w:u w:val="single"/>
        </w:rPr>
        <w:t>Designating Holder</w:t>
      </w:r>
      <w:r>
        <w:rPr>
          <w:rFonts w:ascii="Times New Roman" w:hAnsi="Times New Roman"/>
          <w:sz w:val="20"/>
        </w:rPr>
        <w:t>”), shall have the right to designate one individual (each, a “</w:t>
      </w:r>
      <w:r>
        <w:rPr>
          <w:rFonts w:ascii="Times New Roman" w:hAnsi="Times New Roman"/>
          <w:sz w:val="20"/>
          <w:u w:val="single"/>
        </w:rPr>
        <w:t>Designated Director</w:t>
      </w:r>
      <w:r>
        <w:rPr>
          <w:rFonts w:ascii="Times New Roman" w:hAnsi="Times New Roman"/>
          <w:sz w:val="20"/>
        </w:rPr>
        <w:t>”) for appointment to the board of directors of the Company (the “</w:t>
      </w:r>
      <w:r>
        <w:rPr>
          <w:rFonts w:ascii="Times New Roman" w:hAnsi="Times New Roman"/>
          <w:sz w:val="20"/>
          <w:u w:val="single"/>
        </w:rPr>
        <w:t>Board</w:t>
      </w:r>
      <w:r>
        <w:rPr>
          <w:rFonts w:ascii="Times New Roman" w:hAnsi="Times New Roman"/>
          <w:sz w:val="20"/>
        </w:rPr>
        <w:t xml:space="preserve">”), subject to certain eligibility requirements. The Company agreed to use its reasonable best efforts to cause each Designated Director to be appointed to the Board effective as of the closing. Each Designating Holder will have the right to have its Designated Director nominated for election as a director at each subsequent annual meeting of stockholders of the Company and included among the slate of nominees recommended by the Board for election at each such annual meeting of stockholders for so long as such Designating Holder (together with its controlled affiliates) continues to beneficially own at least 7.5% of the Company’s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Backstop Agreement does not purport to be complete and is subject to and is qualified in its entirety by reference to the Backstop Agreement, a copy of which is attached to this Current Report as Exhibit 10.1 and is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Amended and Restated Indenture </w:t>
      </w:r>
    </w:p>
    <w:p>
      <w:pPr>
        <w:pStyle w:val="TextBody"/>
        <w:bidi w:val="0"/>
        <w:spacing w:before="120" w:after="0"/>
        <w:jc w:val="left"/>
        <w:rPr>
          <w:rFonts w:ascii="Times New Roman" w:hAnsi="Times New Roman"/>
          <w:sz w:val="20"/>
        </w:rPr>
      </w:pPr>
      <w:r>
        <w:rPr>
          <w:rFonts w:ascii="Times New Roman" w:hAnsi="Times New Roman"/>
          <w:sz w:val="20"/>
        </w:rPr>
        <w:t>Substantially concurrently with the closing of the Backstop Exchange, and in connection with the Rights Offering, the Company, the subsidiaries party thereto, as guarantors, and U.S. Bank Trust Company, National Association, as trustee and notes collateral agent, will enter into an Amended and Restated Indenture (the “</w:t>
      </w:r>
      <w:r>
        <w:rPr>
          <w:rFonts w:ascii="Times New Roman" w:hAnsi="Times New Roman"/>
          <w:sz w:val="20"/>
          <w:u w:val="single"/>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Indenture will amend and restate in its entirety that certain Indenture, dated as of March 12, 2025 (as amended prior to the date hereof, the “</w:t>
      </w:r>
      <w:r>
        <w:rPr>
          <w:rFonts w:ascii="Times New Roman" w:hAnsi="Times New Roman"/>
          <w:sz w:val="20"/>
          <w:u w:val="single"/>
        </w:rPr>
        <w:t>Prior Notes Indenture</w:t>
      </w:r>
      <w:r>
        <w:rPr>
          <w:rFonts w:ascii="Times New Roman" w:hAnsi="Times New Roman"/>
          <w:sz w:val="20"/>
        </w:rPr>
        <w:t xml:space="preserve">”), governing the 2030 Notes. The 2030 Notes will remain guaranteed and secured on substantially the same terms other than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Prior Notes Indenture will be amended and restated to provide additional covenant flexibility and other amendments, including, among other things: (i) reset the total net leverage ratio maintenance covenant step-down schedule to: (w) 4.50:1.00, commencing with the fiscal quarter ending September 30, 2026, (x) 4.00:1.00, commencing on the fiscal quarter ending June 30, 2027, (y) 3.50:1.00, commencing on the fiscal quarter ending June 30, 2028, and (z) 3.00:1.00, commencing on the fiscal quarter ending June 30, 2029, (ii) relax the total net leverage ratio incurrence test for additional indebtedness from 2.50:1.00 to 3.00:1.00, (iii) permanently exclude capital lease obligations from the definition of “Consolidated Total Indebtedness” for purposes of the financial maintenance covenant, incurrence-based tests/ratios/baskets, and the Secured Net Leverage Ratio (as defined in the Indenture), (iv) increase the basket for indebtedness in respect of purchase money obligations and capital lease obligations from $75.0 million to $85.0 million, (v) provide for par redemption of 2030 Notes in connection with the Backstop Agreement and exclude Rights Offering redemption proceeds from the excess cash flow sweep, (vi) reset the make-whole expiry date to two years from the effective date of the Indenture and reduce the premium from 102% to 101%, (vii) grant the holders of the 2030 Notes a right of first offer with respect to any debtor-in-possession financing secured by notes priority collateral on a pro rata basis and (viii) require that any opportunity to provide permitted pari passu notes lien indebtedness be offered first to existing holders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Indenture does not purport to be complete and is subject to and is qualified in its entirety by reference to the Form of Amended and Restated Indenture, a copy of which is attached to this Current Report as Exhibit 4.1 and is incorporated by reference herein. </w:t>
      </w:r>
    </w:p>
    <w:p>
      <w:pPr>
        <w:pStyle w:val="TextBody"/>
        <w:bidi w:val="0"/>
        <w:spacing w:before="360" w:after="0"/>
        <w:jc w:val="left"/>
        <w:rPr>
          <w:rFonts w:ascii="Times New Roman" w:hAnsi="Times New Roman"/>
          <w:sz w:val="20"/>
        </w:rPr>
      </w:pPr>
      <w:r>
        <w:rPr>
          <w:rFonts w:ascii="Times New Roman" w:hAnsi="Times New Roman"/>
          <w:b/>
          <w:sz w:val="20"/>
        </w:rPr>
        <w:t>Item 3.02 Unregistered Sales of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applicable, the disclosure set forth above in Item 1.01 of this Current Report on Form 8-K under the heading “Backstop Agreement” with respect to the shares of Common Stock to be issued pursuant to the Backstop Exchange is incorporated by reference in this Item 3.02. The shares of Common Stock to be issued pursuant to the Backstop Agreement will not be registered under the Securities Act and will be issued in reliance on the exemption from registration requirements thereof provided by Section 4(a)(2) of the Securities Act.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On August 10, 2026, the Company announced that its Board approved the Rights Offering, which will be available to all holders of record of the Company’s Common Stock, as of 5:00 p.m., New York City time, on August 21, 2026 (the “</w:t>
      </w:r>
      <w:r>
        <w:rPr>
          <w:rFonts w:ascii="Times New Roman" w:hAnsi="Times New Roman"/>
          <w:sz w:val="20"/>
          <w:u w:val="single"/>
        </w:rPr>
        <w:t>Record Date</w:t>
      </w:r>
      <w:r>
        <w:rPr>
          <w:rFonts w:ascii="Times New Roman" w:hAnsi="Times New Roman"/>
          <w:sz w:val="20"/>
        </w:rPr>
        <w:t>”). The Rights Offering will be made through a distribution to all holders of record of Common Stock as of the Record Date of transferable subscription rights to purchase shares of Common Stock at the Subscription Price. The Rights Offering is currently expected to commence on August 24, 2026, and expire at 5:00 p.m., New York City time, on September 23, 2026 (the “</w:t>
      </w:r>
      <w:r>
        <w:rPr>
          <w:rFonts w:ascii="Times New Roman" w:hAnsi="Times New Roman"/>
          <w:sz w:val="20"/>
          <w:u w:val="single"/>
        </w:rPr>
        <w:t>Expiration Date</w:t>
      </w:r>
      <w:r>
        <w:rPr>
          <w:rFonts w:ascii="Times New Roman" w:hAnsi="Times New Roman"/>
          <w:sz w:val="20"/>
        </w:rPr>
        <w:t xml:space="preserve">”). The rights being issued in the offering are expected to be listed for trading on The Nasdaq Stock Market LLC under the symbol “KLXER” and therefore will be transferable. </w:t>
      </w:r>
    </w:p>
    <w:p>
      <w:pPr>
        <w:pStyle w:val="TextBody"/>
        <w:bidi w:val="0"/>
        <w:spacing w:before="240" w:after="0"/>
        <w:jc w:val="left"/>
        <w:rPr>
          <w:rFonts w:ascii="Times New Roman" w:hAnsi="Times New Roman"/>
          <w:sz w:val="20"/>
        </w:rPr>
      </w:pPr>
      <w:r>
        <w:rPr>
          <w:rFonts w:ascii="Times New Roman" w:hAnsi="Times New Roman"/>
          <w:sz w:val="20"/>
        </w:rPr>
        <w:t>Pursuant to the Rights Offering, each stockholder of the Company of record as of the Record Date will receive one subscription right for each share of Common Stock held by such stockholder as of the Record Date, and each subscription right will entitle the holder to purchase 3.885 shares of Common Stock at the Subscription Price per share (the “</w:t>
      </w:r>
      <w:r>
        <w:rPr>
          <w:rFonts w:ascii="Times New Roman" w:hAnsi="Times New Roman"/>
          <w:sz w:val="20"/>
          <w:u w:val="single"/>
        </w:rPr>
        <w:t>Basic Subscription Right</w:t>
      </w:r>
      <w:r>
        <w:rPr>
          <w:rFonts w:ascii="Times New Roman" w:hAnsi="Times New Roman"/>
          <w:sz w:val="20"/>
        </w:rPr>
        <w:t>”). Each stockholder who exercises its Basic Subscription Rights may subscribe for additional shares of Common Stock to the extent they are available, at the Subscription Price (the “</w:t>
      </w:r>
      <w:r>
        <w:rPr>
          <w:rFonts w:ascii="Times New Roman" w:hAnsi="Times New Roman"/>
          <w:sz w:val="20"/>
          <w:u w:val="single"/>
        </w:rPr>
        <w:t>Over-Subscription Right</w:t>
      </w:r>
      <w:r>
        <w:rPr>
          <w:rFonts w:ascii="Times New Roman" w:hAnsi="Times New Roman"/>
          <w:sz w:val="20"/>
        </w:rPr>
        <w:t>” and, together with the Basic Subscription Right, the “</w:t>
      </w:r>
      <w:r>
        <w:rPr>
          <w:rFonts w:ascii="Times New Roman" w:hAnsi="Times New Roman"/>
          <w:sz w:val="20"/>
          <w:u w:val="single"/>
        </w:rPr>
        <w:t>Subscription Rights</w:t>
      </w:r>
      <w:r>
        <w:rPr>
          <w:rFonts w:ascii="Times New Roman" w:hAnsi="Times New Roman"/>
          <w:sz w:val="20"/>
        </w:rPr>
        <w:t xml:space="preserve">”); provided that no stockholder (other than the Backstop Parties) shall be entitled to exercise Subscription Rights to the extent that such exercise would result in such stockholder, together with its affiliates and any persons acting in concert with such stockholder, beneficially owning more than 9.995% of the Company’s outstanding Common Stock on a pro forma basis after giving effect to such exercise. The Company will not issue any fractional shares of Common Stock in the Rights Offering, and all exercises of Subscription Rights will be rounded down to the nearest whole share. In addition, the Company will not issue fractional Subscription Rights or pay cash in lieu of fractional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any net cash proceeds it receives in connection with the Rights Offering up to $31.0 million for general corporate purposes, and for any amounts over $31.0 million, the Company intends to repurchase 2030 Notes at par, which is permitted under the Backstop Agreement. </w:t>
      </w:r>
    </w:p>
    <w:p>
      <w:pPr>
        <w:pStyle w:val="TextBody"/>
        <w:bidi w:val="0"/>
        <w:spacing w:before="240" w:after="0"/>
        <w:jc w:val="left"/>
        <w:rPr>
          <w:rFonts w:ascii="Times New Roman" w:hAnsi="Times New Roman"/>
          <w:sz w:val="20"/>
        </w:rPr>
      </w:pPr>
      <w:r>
        <w:rPr>
          <w:rFonts w:ascii="Times New Roman" w:hAnsi="Times New Roman"/>
          <w:sz w:val="20"/>
        </w:rPr>
        <w:t>The Rights Offering will be made pursuant to the Company’s existing effective shelf registration statement on Form S-3 (Reg. No. 333-295905) on file with the Securities and Exchange Commission (the “</w:t>
      </w:r>
      <w:r>
        <w:rPr>
          <w:rFonts w:ascii="Times New Roman" w:hAnsi="Times New Roman"/>
          <w:sz w:val="20"/>
          <w:u w:val="single"/>
        </w:rPr>
        <w:t>SEC</w:t>
      </w:r>
      <w:r>
        <w:rPr>
          <w:rFonts w:ascii="Times New Roman" w:hAnsi="Times New Roman"/>
          <w:sz w:val="20"/>
        </w:rPr>
        <w:t xml:space="preserve">”) and a prospectus supplement (and the accompanying base prospectus) to be filed with the SEC prior to the commencement of the Rights Offering. The Company reserves the right to extend, amend or terminate the planned Rights Offering, subject to certain conditions,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herein is not complete and is subject to change. This report does not constitute an offer to sell or the solicitation of an offer to buy any of the Subscription Rights, Common Stock or any other securities, nor will there be any sale of the Subscription Rights, Common Stock or any other securities in any state or other jurisdiction in which such offer, solicitation or sale would be unlawful prior to registration or qualification under the securities laws of any such state or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10, 2026, the Company issued a press release announcing the Rights Offering. A copy of the press release is attached hereto as Exhibit 99.1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and the documents to which the Company refers you to in this report,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transactions described herein, the businesses, strategies and plans of the Company and its expectations relating to its future financial condition and performance. Statements included in this report that are not historical facts are forward-looking statements, including statements about the beliefs and expectations of the management of the Company.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forward-looking statements in this report and the information incorporated by reference in this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prevailing market conditions, the Company’s ability to launch the Rights Offering as expected, whether holders of record will exercise their rights to purchase Common Stock and the amount subscribed, and whether the Company will be able to successfully complete the Rights Offering, in addition to, without limitation, those described under the heading “Risk Factors” in our most recent Annual Report on Form 10-K filed with the SEC, as supplemented by our Quarterly Reports on Form 10-Q or our Current Reports on Form 8-K, and discussed elsewhere in this report, and the information incorporated by reference in this report.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the Company or any person acting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EXD">
              <w:r>
                <w:rPr>
                  <w:rStyle w:val="InternetLink"/>
                </w:rPr>
                <w:t xml:space="preserve">Form of Amended and Restated Indenture (incorporated by reference to Exhibit D to the Rights Offering Backstop Agreement filed as Exhibit 10.1 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86592dex101.htm">
              <w:r>
                <w:rPr>
                  <w:rStyle w:val="InternetLink"/>
                </w:rPr>
                <w:t xml:space="preserve">Rights Offering Backstop Agreement, dated August 6, 2026, by and among KLX Energy Services Holdings, Inc., and the credit parties thereto.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EXE">
              <w:r>
                <w:rPr>
                  <w:rStyle w:val="InternetLink"/>
                </w:rPr>
                <w:t xml:space="preserve">Form of Registration Rights Agreement (incorporated by reference to Exhibit E to the Rights Offering Backstop Agreement filed as Exhibit 10.1 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86592dex991.htm">
              <w:r>
                <w:rPr>
                  <w:rStyle w:val="InternetLink"/>
                </w:rPr>
                <w:t xml:space="preserve">Press Release dated August 10,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to this agreement have been omitted pursuant to Item 601(a)(5) of Regulation S-K. The registrant agrees to furnish supplementally a copy of any omitted schedule or exhibit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665"/>
        <w:gridCol w:w="60"/>
        <w:gridCol w:w="806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8785" w:type="dxa"/>
            <w:gridSpan w:val="3"/>
            <w:tcBorders/>
            <w:vAlign w:val="center"/>
          </w:tcPr>
          <w:p>
            <w:pPr>
              <w:pStyle w:val="TableContents"/>
              <w:bidi w:val="0"/>
              <w:spacing w:before="0" w:after="283"/>
              <w:jc w:val="left"/>
              <w:rPr/>
            </w:pPr>
            <w:r>
              <w:rPr/>
              <w:t>KLX Energy Services Holdings,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Max L. Bouthillette</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left"/>
              <w:rPr/>
            </w:pPr>
            <w:r>
              <w:rPr/>
              <w:t>Max L. Bouthillette</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8060" w:type="dxa"/>
            <w:tcBorders/>
            <w:vAlign w:val="center"/>
          </w:tcPr>
          <w:p>
            <w:pPr>
              <w:pStyle w:val="TableContents"/>
              <w:bidi w:val="0"/>
              <w:spacing w:before="0" w:after="283"/>
              <w:jc w:val="left"/>
              <w:rPr/>
            </w:pPr>
            <w:r>
              <w:rPr/>
              <w:t>Executive Vice President, General Counsel, Chief Compliance Officer and Secretary</w:t>
            </w:r>
          </w:p>
        </w:tc>
      </w:tr>
      <w:tr>
        <w:trPr/>
        <w:tc>
          <w:tcPr>
            <w:tcW w:w="8785" w:type="dxa"/>
            <w:gridSpan w:val="3"/>
            <w:tcBorders/>
            <w:vAlign w:val="center"/>
          </w:tcPr>
          <w:p>
            <w:pPr>
              <w:pStyle w:val="TableContents"/>
              <w:bidi w:val="0"/>
              <w:spacing w:before="0" w:after="283"/>
              <w:jc w:val="left"/>
              <w:rPr>
                <w:sz w:val="4"/>
                <w:szCs w:val="4"/>
              </w:rPr>
            </w:pPr>
            <w:r>
              <w:rPr>
                <w:sz w:val="4"/>
                <w:szCs w:val="4"/>
              </w:rPr>
            </w:r>
          </w:p>
        </w:tc>
      </w:tr>
      <w:tr>
        <w:trPr/>
        <w:tc>
          <w:tcPr>
            <w:tcW w:w="8785" w:type="dxa"/>
            <w:gridSpan w:val="3"/>
            <w:tcBorders/>
            <w:vAlign w:val="center"/>
          </w:tcPr>
          <w:p>
            <w:pPr>
              <w:pStyle w:val="TableContents"/>
              <w:bidi w:val="0"/>
              <w:spacing w:before="0" w:after="283"/>
              <w:jc w:val="left"/>
              <w:rPr/>
            </w:pPr>
            <w:r>
              <w:rPr/>
              <w:t>Date: August 10, 2026</w:t>
            </w:r>
          </w:p>
        </w:tc>
      </w:tr>
    </w:tbl>
    <w:p>
      <w:pPr>
        <w:pStyle w:val="TextBody"/>
        <w:bidi w:val="0"/>
        <w:spacing w:before="0" w:after="0"/>
        <w:jc w:val="right"/>
        <w:rPr>
          <w:rFonts w:ascii="Times New Roman" w:hAnsi="Times New Roman"/>
          <w:b/>
          <w:sz w:val="20"/>
        </w:rPr>
      </w:pPr>
      <w:bookmarkStart w:id="2" w:name="d286592dex101.htm"/>
      <w:bookmarkStart w:id="3" w:name="ksd286592dex101"/>
      <w:bookmarkEnd w:id="2"/>
      <w:bookmarkEnd w:id="3"/>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RIGHTS OFFERING BACKSTOP AGREEMENT </w:t>
      </w:r>
    </w:p>
    <w:p>
      <w:pPr>
        <w:pStyle w:val="TextBody"/>
        <w:bidi w:val="0"/>
        <w:spacing w:before="240" w:after="0"/>
        <w:jc w:val="left"/>
        <w:rPr>
          <w:rFonts w:ascii="Times New Roman" w:hAnsi="Times New Roman"/>
          <w:sz w:val="20"/>
        </w:rPr>
      </w:pPr>
      <w:r>
        <w:rPr>
          <w:rFonts w:ascii="Times New Roman" w:hAnsi="Times New Roman"/>
          <w:sz w:val="20"/>
        </w:rPr>
        <w:t>This RIGHTS OFFERING BACKSTOP AGREEMENT (this “</w:t>
      </w:r>
      <w:r>
        <w:rPr>
          <w:rFonts w:ascii="Times New Roman" w:hAnsi="Times New Roman"/>
          <w:sz w:val="20"/>
          <w:u w:val="single"/>
        </w:rPr>
        <w:t>Agreement</w:t>
      </w:r>
      <w:r>
        <w:rPr>
          <w:rFonts w:ascii="Times New Roman" w:hAnsi="Times New Roman"/>
          <w:sz w:val="20"/>
        </w:rPr>
        <w:t>”), dated August 6, 2026, is made and entered into by and among KLX Energy Services Holdings, Inc., a Delaware corporation (the “</w:t>
      </w:r>
      <w:r>
        <w:rPr>
          <w:rFonts w:ascii="Times New Roman" w:hAnsi="Times New Roman"/>
          <w:sz w:val="20"/>
          <w:u w:val="single"/>
        </w:rPr>
        <w:t>Company</w:t>
      </w:r>
      <w:r>
        <w:rPr>
          <w:rFonts w:ascii="Times New Roman" w:hAnsi="Times New Roman"/>
          <w:sz w:val="20"/>
        </w:rPr>
        <w:t>”), Cross Ocean Partners Management LP, on behalf of certain of its respective advised funds, a Delaware limited partnership (“</w:t>
      </w:r>
      <w:r>
        <w:rPr>
          <w:rFonts w:ascii="Times New Roman" w:hAnsi="Times New Roman"/>
          <w:sz w:val="20"/>
          <w:u w:val="single"/>
        </w:rPr>
        <w:t>Cross Ocean</w:t>
      </w:r>
      <w:r>
        <w:rPr>
          <w:rFonts w:ascii="Times New Roman" w:hAnsi="Times New Roman"/>
          <w:sz w:val="20"/>
        </w:rPr>
        <w:t>”), Whitebox Advisors LLC, on behalf of certain of its respective advised funds, a Delaware limited liability company (“</w:t>
      </w:r>
      <w:r>
        <w:rPr>
          <w:rFonts w:ascii="Times New Roman" w:hAnsi="Times New Roman"/>
          <w:sz w:val="20"/>
          <w:u w:val="single"/>
        </w:rPr>
        <w:t>Whitebox</w:t>
      </w:r>
      <w:r>
        <w:rPr>
          <w:rFonts w:ascii="Times New Roman" w:hAnsi="Times New Roman"/>
          <w:sz w:val="20"/>
        </w:rPr>
        <w:t>” and, together with Cross Ocean, the “</w:t>
      </w:r>
      <w:r>
        <w:rPr>
          <w:rFonts w:ascii="Times New Roman" w:hAnsi="Times New Roman"/>
          <w:sz w:val="20"/>
          <w:u w:val="single"/>
        </w:rPr>
        <w:t>Specified Backstop Parties</w:t>
      </w:r>
      <w:r>
        <w:rPr>
          <w:rFonts w:ascii="Times New Roman" w:hAnsi="Times New Roman"/>
          <w:sz w:val="20"/>
        </w:rPr>
        <w:t>”), and each other purchaser listed on the signature pages hereto (the “</w:t>
      </w:r>
      <w:r>
        <w:rPr>
          <w:rFonts w:ascii="Times New Roman" w:hAnsi="Times New Roman"/>
          <w:sz w:val="20"/>
          <w:u w:val="single"/>
        </w:rPr>
        <w:t>Additional Backstop Parties</w:t>
      </w:r>
      <w:r>
        <w:rPr>
          <w:rFonts w:ascii="Times New Roman" w:hAnsi="Times New Roman"/>
          <w:sz w:val="20"/>
        </w:rPr>
        <w:t>” and, together with the Specified Backstop Parties, the “</w:t>
      </w:r>
      <w:r>
        <w:rPr>
          <w:rFonts w:ascii="Times New Roman" w:hAnsi="Times New Roman"/>
          <w:sz w:val="20"/>
          <w:u w:val="single"/>
        </w:rPr>
        <w:t>Backstop Parties</w:t>
      </w:r>
      <w:r>
        <w:rPr>
          <w:rFonts w:ascii="Times New Roman" w:hAnsi="Times New Roman"/>
          <w:sz w:val="20"/>
        </w:rPr>
        <w:t>”). The Company and the Backstop Parties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has proposed to distribute, at no charge, to holders of record of its common stock, par value $0.01 per share (the “</w:t>
      </w:r>
      <w:r>
        <w:rPr>
          <w:rFonts w:ascii="Times New Roman" w:hAnsi="Times New Roman"/>
          <w:sz w:val="20"/>
          <w:u w:val="single"/>
        </w:rPr>
        <w:t>Common Stock</w:t>
      </w:r>
      <w:r>
        <w:rPr>
          <w:rFonts w:ascii="Times New Roman" w:hAnsi="Times New Roman"/>
          <w:sz w:val="20"/>
        </w:rPr>
        <w:t>”), as of the close of business on the record date established in the Prospectus Supplement (as defined below) (the “</w:t>
      </w:r>
      <w:r>
        <w:rPr>
          <w:rFonts w:ascii="Times New Roman" w:hAnsi="Times New Roman"/>
          <w:sz w:val="20"/>
          <w:u w:val="single"/>
        </w:rPr>
        <w:t>Record Date</w:t>
      </w:r>
      <w:r>
        <w:rPr>
          <w:rFonts w:ascii="Times New Roman" w:hAnsi="Times New Roman"/>
          <w:sz w:val="20"/>
        </w:rPr>
        <w:t>”), transferable rights (the “</w:t>
      </w:r>
      <w:r>
        <w:rPr>
          <w:rFonts w:ascii="Times New Roman" w:hAnsi="Times New Roman"/>
          <w:sz w:val="20"/>
          <w:u w:val="single"/>
        </w:rPr>
        <w:t>Rights</w:t>
      </w:r>
      <w:r>
        <w:rPr>
          <w:rFonts w:ascii="Times New Roman" w:hAnsi="Times New Roman"/>
          <w:sz w:val="20"/>
        </w:rPr>
        <w:t>”) to subscribe for and purchase an additional 84,000,000 shares of Common Stock in the aggregate at a subscription price equal to $1.49 per share (the “</w:t>
      </w:r>
      <w:r>
        <w:rPr>
          <w:rFonts w:ascii="Times New Roman" w:hAnsi="Times New Roman"/>
          <w:sz w:val="20"/>
          <w:u w:val="single"/>
        </w:rPr>
        <w:t>Subscription Price</w:t>
      </w:r>
      <w:r>
        <w:rPr>
          <w:rFonts w:ascii="Times New Roman" w:hAnsi="Times New Roman"/>
          <w:sz w:val="20"/>
        </w:rPr>
        <w:t>” and such offering, the “</w:t>
      </w:r>
      <w:r>
        <w:rPr>
          <w:rFonts w:ascii="Times New Roman" w:hAnsi="Times New Roman"/>
          <w:sz w:val="20"/>
          <w:u w:val="single"/>
        </w:rPr>
        <w:t>Rights 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filed a Shelf Registration Statement on Form S-3 (the “</w:t>
      </w:r>
      <w:r>
        <w:rPr>
          <w:rFonts w:ascii="Times New Roman" w:hAnsi="Times New Roman"/>
          <w:sz w:val="20"/>
          <w:u w:val="single"/>
        </w:rPr>
        <w:t>Registration Statement</w:t>
      </w:r>
      <w:r>
        <w:rPr>
          <w:rFonts w:ascii="Times New Roman" w:hAnsi="Times New Roman"/>
          <w:sz w:val="20"/>
        </w:rPr>
        <w:t>”) with the Securities and Exchange Commission (the “</w:t>
      </w:r>
      <w:r>
        <w:rPr>
          <w:rFonts w:ascii="Times New Roman" w:hAnsi="Times New Roman"/>
          <w:sz w:val="20"/>
          <w:u w:val="single"/>
        </w:rPr>
        <w:t>SEC</w:t>
      </w:r>
      <w:r>
        <w:rPr>
          <w:rFonts w:ascii="Times New Roman" w:hAnsi="Times New Roman"/>
          <w:sz w:val="20"/>
        </w:rPr>
        <w:t>”), which Registration Statement was declared effective by the SEC on May 22, 2026, and in connection with the Rights Offering, the Company shall file one or more prospectus supplements under Rule 424(b) of the Securities Act of 1933, as amended (the “</w:t>
      </w:r>
      <w:r>
        <w:rPr>
          <w:rFonts w:ascii="Times New Roman" w:hAnsi="Times New Roman"/>
          <w:sz w:val="20"/>
          <w:u w:val="single"/>
        </w:rPr>
        <w:t>Securities Act</w:t>
      </w:r>
      <w:r>
        <w:rPr>
          <w:rFonts w:ascii="Times New Roman" w:hAnsi="Times New Roman"/>
          <w:sz w:val="20"/>
        </w:rPr>
        <w:t>”) (such prospectus supplement(s), together with any amendments or supplements thereto, the “</w:t>
      </w:r>
      <w:r>
        <w:rPr>
          <w:rFonts w:ascii="Times New Roman" w:hAnsi="Times New Roman"/>
          <w:sz w:val="20"/>
          <w:u w:val="single"/>
        </w:rPr>
        <w:t>Prospectus Supplement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pursuant to the Rights Offering, each stockholder of the Company (each, a “</w:t>
      </w:r>
      <w:r>
        <w:rPr>
          <w:rFonts w:ascii="Times New Roman" w:hAnsi="Times New Roman"/>
          <w:sz w:val="20"/>
          <w:u w:val="single"/>
        </w:rPr>
        <w:t>Company Stockholder</w:t>
      </w:r>
      <w:r>
        <w:rPr>
          <w:rFonts w:ascii="Times New Roman" w:hAnsi="Times New Roman"/>
          <w:sz w:val="20"/>
        </w:rPr>
        <w:t>”) of record as of the close of business on the Record Date (collectively, the “</w:t>
      </w:r>
      <w:r>
        <w:rPr>
          <w:rFonts w:ascii="Times New Roman" w:hAnsi="Times New Roman"/>
          <w:sz w:val="20"/>
          <w:u w:val="single"/>
        </w:rPr>
        <w:t>Eligible Common Stockholders</w:t>
      </w:r>
      <w:r>
        <w:rPr>
          <w:rFonts w:ascii="Times New Roman" w:hAnsi="Times New Roman"/>
          <w:sz w:val="20"/>
        </w:rPr>
        <w:t>”) will receive one Right for each share of Common Stock held by such Company Stockholder as of the close of business on the Record Date, and each Right will entitle the holder to purchase 3.885 shares of Common Stock at the Subscription Price per share (the “</w:t>
      </w:r>
      <w:r>
        <w:rPr>
          <w:rFonts w:ascii="Times New Roman" w:hAnsi="Times New Roman"/>
          <w:sz w:val="20"/>
          <w:u w:val="single"/>
        </w:rPr>
        <w:t>Basic Subscription Right</w:t>
      </w:r>
      <w:r>
        <w:rPr>
          <w:rFonts w:ascii="Times New Roman" w:hAnsi="Times New Roman"/>
          <w:sz w:val="20"/>
        </w:rPr>
        <w:t xml:space="preserve">”), subject to adjustment in accordance with the Prospectus Supplement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WHEREAS, subject to and in accordance with the Prospectus Supplement and any amendments or supplements thereto, each Company Stockholder who exercises his, her or its Basic Subscription Rights may subscribe for additional shares of Common Stock to the extent they are available, at the Subscription Price (the “</w:t>
      </w:r>
      <w:r>
        <w:rPr>
          <w:rFonts w:ascii="Times New Roman" w:hAnsi="Times New Roman"/>
          <w:sz w:val="20"/>
          <w:u w:val="single"/>
        </w:rPr>
        <w:t>Over-Subscription Right</w:t>
      </w:r>
      <w:r>
        <w:rPr>
          <w:rFonts w:ascii="Times New Roman" w:hAnsi="Times New Roman"/>
          <w:sz w:val="20"/>
        </w:rPr>
        <w:t>” and, together with the Basic Subscription Right, the “</w:t>
      </w:r>
      <w:r>
        <w:rPr>
          <w:rFonts w:ascii="Times New Roman" w:hAnsi="Times New Roman"/>
          <w:sz w:val="20"/>
          <w:u w:val="single"/>
        </w:rPr>
        <w:t>Subscription Rights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Company Stockholder (other than the Backstop Parties, whose exercise of Subscription Rights and participation in the Backstop Exchange (as defined below) shall be subject solely to the Ownership Limitation set forth in </w:t>
      </w:r>
      <w:r>
        <w:rPr>
          <w:rFonts w:ascii="Times New Roman" w:hAnsi="Times New Roman"/>
          <w:sz w:val="20"/>
          <w:u w:val="single"/>
        </w:rPr>
        <w:t>Section 1(b)</w:t>
      </w:r>
      <w:r>
        <w:rPr>
          <w:rFonts w:ascii="Times New Roman" w:hAnsi="Times New Roman"/>
          <w:sz w:val="20"/>
        </w:rPr>
        <w:t xml:space="preserve">) shall be entitled to exercise Subscription Rights to the extent that such exercise would result in such Company Stockholder, together with its affiliates and any persons acting in concert with such Company Stockholder, beneficially owning more than 9.995% of the Company’s outstanding Common Stock on a pro forma basis after giving effect to such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each Backstop Party holds Senior Secured Floating Rate Cash / PIK Notes due 2030 issued by the Company (the “</w:t>
      </w:r>
      <w:r>
        <w:rPr>
          <w:rFonts w:ascii="Times New Roman" w:hAnsi="Times New Roman"/>
          <w:sz w:val="20"/>
          <w:u w:val="single"/>
        </w:rPr>
        <w:t>2030 Notes</w:t>
      </w:r>
      <w:r>
        <w:rPr>
          <w:rFonts w:ascii="Times New Roman" w:hAnsi="Times New Roman"/>
          <w:sz w:val="20"/>
        </w:rPr>
        <w:t>”) pursuant to the Indenture, dated as of March 12, 2025, by and among the Company, the guarantors from time to time party thereto and U.S. Bank Trust Company, National Association, as trustee (as amended, the “</w:t>
      </w:r>
      <w:r>
        <w:rPr>
          <w:rFonts w:ascii="Times New Roman" w:hAnsi="Times New Roman"/>
          <w:sz w:val="20"/>
          <w:u w:val="single"/>
        </w:rPr>
        <w:t>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Backstop Exchange and the other transactions contemplated by this Agreement, the Company and the trustee under the Indenture intend to enter into an amended and restated indenture, substantially in the form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sz w:val="20"/>
          <w:u w:val="single"/>
        </w:rPr>
        <w:t>A&amp;R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provide assurance that the Company receives sufficient consideration in connection with the Rights Offering, the Company has offered to the Backstop Parties the opportunity, and each Backstop Party has agreed and committed, to purchase from the Company upon expiration of the Rights Offering, at the Subscription Price, shares of Common Stock not otherwise sold in the Rights Offering through an exchange of such Backstop Parties’ 2030 Notes for such shares, subject to and in accordance with the terms and conditions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from and after the date of this Agreement until the Backstop Upsize Deadline (as defined below), and subject to the terms and conditions of </w:t>
      </w:r>
      <w:r>
        <w:rPr>
          <w:rFonts w:ascii="Times New Roman" w:hAnsi="Times New Roman"/>
          <w:sz w:val="20"/>
          <w:u w:val="single"/>
        </w:rPr>
        <w:t>Section 5(b)</w:t>
      </w:r>
      <w:r>
        <w:rPr>
          <w:rFonts w:ascii="Times New Roman" w:hAnsi="Times New Roman"/>
          <w:sz w:val="20"/>
        </w:rPr>
        <w:t>, (i) one or more additional holders of 2030 Notes may become a party to this Agreement as a Backstop Party and (ii) any Backstop Party may increase its Individual Backstop Commitment, such that the aggregate Individual Backstop Commitments of all Backstop Parties may be increased up to $125,000,000 (the “</w:t>
      </w:r>
      <w:r>
        <w:rPr>
          <w:rFonts w:ascii="Times New Roman" w:hAnsi="Times New Roman"/>
          <w:sz w:val="20"/>
          <w:u w:val="single"/>
        </w:rPr>
        <w:t>Maximum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set forth herein, and for other good and valuable consideration, the receipt and sufficiency of which are hereby acknowledged, the Parties, intending to be legally bound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Backstop Commitment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consummation of the Rights Offering, the terms and conditions of which shall be subject to the prior written approval of the Backstop Parties (not to be unreasonably withheld, conditioned or delayed) and shall be customary for offerings of such type, and the terms and conditions set forth herein, in order to provide assurance that the Company receives sufficient consideration in connection with the Rights Offering, each Backstop Party hereby commits, severally and not jointly, to purchase from the Company, and the Company hereby agrees to sell to such Backstop Party, at the Subscription Price, an amount of Unsubscribed Shares as will result in an aggregate purchase price payable by such Backstop Party for such Unsubscribed Shares not to exceed such Backstop Party’s Backstop Commitment Amount set forth on </w:t>
      </w:r>
      <w:r>
        <w:rPr>
          <w:rFonts w:ascii="Times New Roman" w:hAnsi="Times New Roman"/>
          <w:sz w:val="20"/>
          <w:u w:val="single"/>
        </w:rPr>
        <w:t>Schedule A</w:t>
      </w:r>
      <w:r>
        <w:rPr>
          <w:rFonts w:ascii="Times New Roman" w:hAnsi="Times New Roman"/>
          <w:sz w:val="20"/>
        </w:rPr>
        <w:t xml:space="preserve"> attached hereto (each such commitment, an “</w:t>
      </w:r>
      <w:r>
        <w:rPr>
          <w:rFonts w:ascii="Times New Roman" w:hAnsi="Times New Roman"/>
          <w:sz w:val="20"/>
          <w:u w:val="single"/>
        </w:rPr>
        <w:t>Individual Backstop Commitment</w:t>
      </w:r>
      <w:r>
        <w:rPr>
          <w:rFonts w:ascii="Times New Roman" w:hAnsi="Times New Roman"/>
          <w:sz w:val="20"/>
        </w:rPr>
        <w:t>”) through an exchange of such Backstop Parties’ 2030 Notes for such shares, whereby (x) the exchange price for any exchanged 2030 Notes shall be 100% of the principal amount thereof and (y) any accrued and unpaid interest on any exchanged 2030 Notes to, but excluding, the Closing Date shall also be exchanged for additional shares of Common Stock at the Subscription Price (the “</w:t>
      </w:r>
      <w:r>
        <w:rPr>
          <w:rFonts w:ascii="Times New Roman" w:hAnsi="Times New Roman"/>
          <w:sz w:val="20"/>
          <w:u w:val="single"/>
        </w:rPr>
        <w:t>Backstop Exchange</w:t>
      </w:r>
      <w:r>
        <w:rPr>
          <w:rFonts w:ascii="Times New Roman" w:hAnsi="Times New Roman"/>
          <w:sz w:val="20"/>
        </w:rPr>
        <w:t xml:space="preserve">”). It is understood that the Unsubscribed Shares shall be allocated for the purposes of the Backstop Exchange among the Backstop Parties proportionally in accordance with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Backstop Percentages set forth on </w:t>
      </w:r>
      <w:r>
        <w:rPr>
          <w:rFonts w:ascii="Times New Roman" w:hAnsi="Times New Roman"/>
          <w:sz w:val="20"/>
          <w:u w:val="single"/>
        </w:rPr>
        <w:t>Schedule A</w:t>
      </w:r>
      <w:r>
        <w:rPr>
          <w:rFonts w:ascii="Times New Roman" w:hAnsi="Times New Roman"/>
          <w:sz w:val="20"/>
        </w:rPr>
        <w:t xml:space="preserve"> attached hereto (the “</w:t>
      </w:r>
      <w:r>
        <w:rPr>
          <w:rFonts w:ascii="Times New Roman" w:hAnsi="Times New Roman"/>
          <w:sz w:val="20"/>
          <w:u w:val="single"/>
        </w:rPr>
        <w:t>Backstop Percentage</w:t>
      </w:r>
      <w:r>
        <w:rPr>
          <w:rFonts w:ascii="Times New Roman" w:hAnsi="Times New Roman"/>
          <w:sz w:val="20"/>
        </w:rPr>
        <w:t>”) and the Backstop Exchange of each Backstop Party shall not exceed the Individual Backstop Commitment of such Backstop Party. The “</w:t>
      </w:r>
      <w:r>
        <w:rPr>
          <w:rFonts w:ascii="Times New Roman" w:hAnsi="Times New Roman"/>
          <w:sz w:val="20"/>
          <w:u w:val="single"/>
        </w:rPr>
        <w:t>Unsubscribed Shares</w:t>
      </w:r>
      <w:r>
        <w:rPr>
          <w:rFonts w:ascii="Times New Roman" w:hAnsi="Times New Roman"/>
          <w:sz w:val="20"/>
        </w:rPr>
        <w:t xml:space="preserve">” means a number of shares of Common Stock equal to the excess, if any, of (i) the aggregate number of shares of Common Stock that may be purchased pursuant to all Rights issued by the Company in connection with the Rights Offering, less (ii) the aggregate number of shares of Common Stock that are purchased by the Eligible Common Stockholders in the Rights Offering pursuant to the exercise of the Subscription Rights. </w:t>
      </w:r>
    </w:p>
    <w:p>
      <w:pPr>
        <w:pStyle w:val="TextBody"/>
        <w:bidi w:val="0"/>
        <w:spacing w:before="240" w:after="0"/>
        <w:jc w:val="left"/>
        <w:rPr>
          <w:rFonts w:ascii="Times New Roman" w:hAnsi="Times New Roman"/>
          <w:sz w:val="20"/>
        </w:rPr>
      </w:pPr>
      <w:r>
        <w:rPr>
          <w:rFonts w:ascii="Times New Roman" w:hAnsi="Times New Roman"/>
          <w:sz w:val="20"/>
        </w:rPr>
        <w:t>(b) Notwithstanding the foregoing, each Backstop Party’s Individual Backstop Commitment shall decrease automatically, as necessary, (x) to ensure that such Backstop Party, together with its affiliates, will own no more than 30.0% of the Company’s outstanding Common Stock on a pro forma fully diluted basis, including, for the avoidance of doubt, all Common Stock held by such Party and any Common Stock to be purchased pursuant to the exercise of Basic Subscription Rights and Over-Subscription Rights by such Backstop Party, and any Backstop Acquired Shares (as defined below) to be issued to such Backstop Party pursuant to the Backstop Exchange (the “</w:t>
      </w:r>
      <w:r>
        <w:rPr>
          <w:rFonts w:ascii="Times New Roman" w:hAnsi="Times New Roman"/>
          <w:sz w:val="20"/>
          <w:u w:val="single"/>
        </w:rPr>
        <w:t>Ownership Limitation</w:t>
      </w:r>
      <w:r>
        <w:rPr>
          <w:rFonts w:ascii="Times New Roman" w:hAnsi="Times New Roman"/>
          <w:sz w:val="20"/>
        </w:rPr>
        <w:t>”), and (y) to the extent of any Excess Proceeds Reduction (as defined below). To the extent that the aggregate gross cash proceeds received from Rights Offering subscriptions, together with the aggregate amount of Individual Backstop Commitments of all Backstop Parties, exceeds the Maximum Amount (any such amount, the “</w:t>
      </w:r>
      <w:r>
        <w:rPr>
          <w:rFonts w:ascii="Times New Roman" w:hAnsi="Times New Roman"/>
          <w:sz w:val="20"/>
          <w:u w:val="single"/>
        </w:rPr>
        <w:t>Excess Proceeds Amount</w:t>
      </w:r>
      <w:r>
        <w:rPr>
          <w:rFonts w:ascii="Times New Roman" w:hAnsi="Times New Roman"/>
          <w:sz w:val="20"/>
        </w:rPr>
        <w:t>”), the Individual Backstop Commitment of each Backstop Party shall be reduced by such Backstop Party’s Backstop Percentage of the Excess Proceeds Amount, dollar for dollar (the “</w:t>
      </w:r>
      <w:r>
        <w:rPr>
          <w:rFonts w:ascii="Times New Roman" w:hAnsi="Times New Roman"/>
          <w:sz w:val="20"/>
          <w:u w:val="single"/>
        </w:rPr>
        <w:t>Excess Proceeds Reduction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Within two business days after the settlement date of the Rights Offering, the Company shall issue to each Backstop Party a notice (the “</w:t>
      </w:r>
      <w:r>
        <w:rPr>
          <w:rFonts w:ascii="Times New Roman" w:hAnsi="Times New Roman"/>
          <w:sz w:val="20"/>
          <w:u w:val="single"/>
        </w:rPr>
        <w:t>Exchange Notice</w:t>
      </w:r>
      <w:r>
        <w:rPr>
          <w:rFonts w:ascii="Times New Roman" w:hAnsi="Times New Roman"/>
          <w:sz w:val="20"/>
        </w:rPr>
        <w:t>”) setting forth the number of shares of Common Stock subscribed for in the Rights Offering pursuant to the exercise of the Subscription Rights by the Eligible Common Stockholders and the aggregate gross proceeds of the Rights Offering and, accordingly, (i) the number of Unsubscribed Shares to be acquired by such Backstop Party pursuant to the Backstop Exchange, (ii) the aggregate principal amount of 2030 Notes to be exchanged by such Backstop Party pursuant to the Backstop Exchange, (iii) accrued and unpaid interest thereon to, but excluding, the Closing Date and (iv) the Closing Date. Shares of Common Stock acquired by the Backstop Parties pursuant to the Backstop Exchange are collectively referred to as the “</w:t>
      </w:r>
      <w:r>
        <w:rPr>
          <w:rFonts w:ascii="Times New Roman" w:hAnsi="Times New Roman"/>
          <w:sz w:val="20"/>
          <w:u w:val="single"/>
        </w:rPr>
        <w:t>Backstop Acquired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Unless this Agreement shall have been terminated pursuant to </w:t>
      </w:r>
      <w:r>
        <w:rPr>
          <w:rFonts w:ascii="Times New Roman" w:hAnsi="Times New Roman"/>
          <w:sz w:val="20"/>
          <w:u w:val="single"/>
        </w:rPr>
        <w:t>Section 6</w:t>
      </w:r>
      <w:r>
        <w:rPr>
          <w:rFonts w:ascii="Times New Roman" w:hAnsi="Times New Roman"/>
          <w:sz w:val="20"/>
        </w:rPr>
        <w:t>, the closing of the Backstop Exchange (the “</w:t>
      </w:r>
      <w:r>
        <w:rPr>
          <w:rFonts w:ascii="Times New Roman" w:hAnsi="Times New Roman"/>
          <w:sz w:val="20"/>
          <w:u w:val="single"/>
        </w:rPr>
        <w:t>Closing</w:t>
      </w:r>
      <w:r>
        <w:rPr>
          <w:rFonts w:ascii="Times New Roman" w:hAnsi="Times New Roman"/>
          <w:sz w:val="20"/>
        </w:rPr>
        <w:t xml:space="preserve">”) shall take place by means of a virtual closing through electronic exchange of signatures on the later of (i) the second business day following delivery of the Exchange Notice, and (ii) the fourth business day following the satisfaction or waiver (to the extent permitted herein and by applicable law) of the conditions set forth in </w:t>
      </w:r>
      <w:r>
        <w:rPr>
          <w:rFonts w:ascii="Times New Roman" w:hAnsi="Times New Roman"/>
          <w:sz w:val="20"/>
          <w:u w:val="single"/>
        </w:rPr>
        <w:t>Section 4</w:t>
      </w:r>
      <w:r>
        <w:rPr>
          <w:rFonts w:ascii="Times New Roman" w:hAnsi="Times New Roman"/>
          <w:sz w:val="20"/>
        </w:rPr>
        <w:t xml:space="preserve"> (other than those conditions that by their nature are to be satisfied at the Closing, but subject to the satisfaction or waiver of those conditions at such time) or on such other date, time or at such place as agreed to in writing by the Company and the Backstop Parties (the date on which the Closing occurs,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At the Closing, the Company shall (i) cause the Company’s trustee to cancel an aggregate principal amount of such Backstop Party’s 2030 Notes equal to such Backstop Party’s Individual Backstop Commitment and (ii) cause the Company’s transfer agent to credit the number of Backstop Acquired Shares to which the Backstop Party is entitled to such Backstop Party’s, or its designee’s, account in book entry form containing a legend in the form set forth in </w:t>
      </w:r>
      <w:r>
        <w:rPr>
          <w:rFonts w:ascii="Times New Roman" w:hAnsi="Times New Roman"/>
          <w:sz w:val="20"/>
          <w:u w:val="single"/>
        </w:rPr>
        <w:t>Section 2(i)</w:t>
      </w:r>
      <w:r>
        <w:rPr>
          <w:rFonts w:ascii="Times New Roman" w:hAnsi="Times New Roman"/>
          <w:sz w:val="20"/>
        </w:rPr>
        <w:t xml:space="preserve"> and deliver to each Backstop Party evidence thereof in a form customarily delivered by the Company’s transfer agent as soon as reasonably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(f) Each Backstop Party shall have the right, but shall not be obligated, to exercise all Basic Subscription Rights and Over-Subscription Rights allocated to such Backstop Party in the Rights Offering; </w:t>
      </w:r>
      <w:r>
        <w:rPr>
          <w:rFonts w:ascii="Times New Roman" w:hAnsi="Times New Roman"/>
          <w:sz w:val="20"/>
          <w:u w:val="single"/>
        </w:rPr>
        <w:t>provided</w:t>
      </w:r>
      <w:r>
        <w:rPr>
          <w:rFonts w:ascii="Times New Roman" w:hAnsi="Times New Roman"/>
          <w:sz w:val="20"/>
        </w:rPr>
        <w:t xml:space="preserve"> that any such exercise shall be the purchase of shares of Common Stock for cash in accordance with the Rights Offering prospectus and shall not reduce such Backstop Party’s Individual Backstop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Representations and Warranties by the Backstop Parties</w:t>
      </w:r>
      <w:r>
        <w:rPr>
          <w:rFonts w:ascii="Times New Roman" w:hAnsi="Times New Roman"/>
          <w:sz w:val="20"/>
        </w:rPr>
        <w:t xml:space="preserve">. Each Backstop Party represents and warrants, severally and not jointly,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Standing and Power</w:t>
      </w:r>
      <w:r>
        <w:rPr>
          <w:rFonts w:ascii="Times New Roman" w:hAnsi="Times New Roman"/>
          <w:sz w:val="20"/>
        </w:rPr>
        <w:t>. Such Backstop Party is a corporation, partnership or limited liability company duly organized, validly existing and in good standing under the laws of its state or country of organization and has all requisite corporate, partnership or limited liability company power and authority necessary to own, lease and operate its properties and to carry on its business as presently conducted, except as has not had, and would not reasonably be expected to have, individually or in the aggregate, a material adverse effect on the ability of such Backstop Party to consummate the transactions contemplated by this Agreement (a “</w:t>
      </w:r>
      <w:r>
        <w:rPr>
          <w:rFonts w:ascii="Times New Roman" w:hAnsi="Times New Roman"/>
          <w:sz w:val="20"/>
          <w:u w:val="single"/>
        </w:rPr>
        <w:t>Backstop Party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and Execution</w:t>
      </w:r>
      <w:r>
        <w:rPr>
          <w:rFonts w:ascii="Times New Roman" w:hAnsi="Times New Roman"/>
          <w:sz w:val="20"/>
        </w:rPr>
        <w:t xml:space="preserve">. The execution, delivery and performance of this Agreement has been duly authorized by all necessary action on the part of such Backstop Party, and, assuming due authorization, execution and delivery by the other Parties hereto and thereto, this Agreement is a legal, valid and binding obligation of such Backstop Party, enforceable against such Backstop Party in accordance with its terms, except as enforcement thereof may be limited by bankruptcy, insolvency, reorganization, moratorium or other similar laws relating to or affecting creditors’ rights generally or by general equitable principles.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Accredited Investor</w:t>
      </w:r>
      <w:r>
        <w:rPr>
          <w:rFonts w:ascii="Times New Roman" w:hAnsi="Times New Roman"/>
          <w:sz w:val="20"/>
        </w:rPr>
        <w:t>. Such Backstop Party is (i) an accredited investor as defined in subsections (1), (2), (3) or (7) of Rule 501(a) under the Securities Act (an “</w:t>
      </w:r>
      <w:r>
        <w:rPr>
          <w:rFonts w:ascii="Times New Roman" w:hAnsi="Times New Roman"/>
          <w:sz w:val="20"/>
          <w:u w:val="single"/>
        </w:rPr>
        <w:t>Accredited Investor</w:t>
      </w:r>
      <w:r>
        <w:rPr>
          <w:rFonts w:ascii="Times New Roman" w:hAnsi="Times New Roman"/>
          <w:sz w:val="20"/>
        </w:rPr>
        <w:t>”) or (ii) a Qualified Institutional Buyer (a “</w:t>
      </w:r>
      <w:r>
        <w:rPr>
          <w:rFonts w:ascii="Times New Roman" w:hAnsi="Times New Roman"/>
          <w:sz w:val="20"/>
          <w:u w:val="single"/>
        </w:rPr>
        <w:t>QIB</w:t>
      </w:r>
      <w:r>
        <w:rPr>
          <w:rFonts w:ascii="Times New Roman" w:hAnsi="Times New Roman"/>
          <w:sz w:val="20"/>
        </w:rPr>
        <w:t>”), as defined in Rule 144A under the Securities Act (“</w:t>
      </w:r>
      <w:r>
        <w:rPr>
          <w:rFonts w:ascii="Times New Roman" w:hAnsi="Times New Roman"/>
          <w:sz w:val="20"/>
          <w:u w:val="single"/>
        </w:rPr>
        <w:t>Rule 144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Conflicts;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Neither the execution, delivery or performance of this Agreement nor the consummation of any of the transactions contemplated hereby will conflict with, violate, constitute a breach of or a default (whether with or without the giving of notice or lapse of time or both) under such Backstop Party’s (a) organizational documents, (b) any agreement to which it is party, (c) any law applicable to it or (d) any order, writ, judgment, injunction, decree, determination or award binding upon or affecting it, except in the case of clauses (b), (c) and (d) above, for such conflicts, violations, breaches or defaults which would not, individually or in the aggregate, reasonably be expected to have a Backstop Party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No consent of, or registration, declaration or filing with any governmental authority (including any federal, state, local or foreign government or political subdivision thereof, or any agency, instrumentality, court or self-regulatory organization exercising executive, legislative, judicial or regulatory functions) (a “</w:t>
      </w:r>
      <w:r>
        <w:rPr>
          <w:rFonts w:ascii="Times New Roman" w:hAnsi="Times New Roman"/>
          <w:sz w:val="20"/>
          <w:u w:val="single"/>
        </w:rPr>
        <w:t>Governmental Authority</w:t>
      </w:r>
      <w:r>
        <w:rPr>
          <w:rFonts w:ascii="Times New Roman" w:hAnsi="Times New Roman"/>
          <w:sz w:val="20"/>
        </w:rPr>
        <w:t>”) is required to be obtained or made by such Backstop Party in connection with the execution, delivery and performance of this Agreement or the consummation of the transactions contemplated hereby, other than (A) the filing with the SEC of such reports under Sections 13 and 16 of the Securities Exchange Act of 1934, as amended (the “</w:t>
      </w:r>
      <w:r>
        <w:rPr>
          <w:rFonts w:ascii="Times New Roman" w:hAnsi="Times New Roman"/>
          <w:sz w:val="20"/>
          <w:u w:val="single"/>
        </w:rPr>
        <w:t>Exchange Act</w:t>
      </w:r>
      <w:r>
        <w:rPr>
          <w:rFonts w:ascii="Times New Roman" w:hAnsi="Times New Roman"/>
          <w:sz w:val="20"/>
        </w:rPr>
        <w:t xml:space="preserve">”), as may be required in connection with this Agreement and the transactions contemplated hereby, (B) any consents, registrations, declarations or filings required to be obtained or made as a result of the identity, nature, business or operations of Company or any of its subsidiaries or affiliates, and (C) such other items that, individually or in the aggregate, have not had and would not reasonably be expected to have, individually or in the aggregate, a Backstop Party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Information</w:t>
      </w:r>
      <w:r>
        <w:rPr>
          <w:rFonts w:ascii="Times New Roman" w:hAnsi="Times New Roman"/>
          <w:sz w:val="20"/>
        </w:rPr>
        <w:t xml:space="preserve">. Such Backstop Party acknowledges that (a) it is not being provided with the disclosures that would be required if the offer and sale of the Backstop Acquired Shares were registered under the Securities Act, nor is it being provided with any offering circular, private placement memorandum or prospectus prepared in connection with the offer and sale of the Backstop Acquired Shares; (b) it has conducted its own examination of the Company and the terms of the transaction contemplated hereby to the extent it deems necessary to make its decision to invest in the Backstop Acquired Shares; (c) it has availed itself of publicly available financial and other information concerning the Company to the extent it deems necessary to make its decision to consummate the Backstop Exchange (including meeting with representatives of the Company) and, except for this Agreement and the other Transaction Documents, it has not received any material non-public information from the Company or any representatives of the Company in connection therewith; and (d) it has not received nor relied on any form of general advertising or, to its knowledge, general solicitation (within the meaning of Regulation D) from the Company in connection with the offer and sale of the Backstop Acquired Shares. Such Backstop Party has had the opportunity to review the information set forth in the Company’s filings with the SEC, including the exhibits thereto.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Access to Information</w:t>
      </w:r>
      <w:r>
        <w:rPr>
          <w:rFonts w:ascii="Times New Roman" w:hAnsi="Times New Roman"/>
          <w:sz w:val="20"/>
        </w:rPr>
        <w:t xml:space="preserve">. Such Backstop Party acknowledges that it and its advisors have been furnished with all materials relating to the business, finances and operations of the Company that have been requested by it or its advisors and have been given the opportunity to ask questions of, and to receive answers from, persons acting on behalf of the Company concerning terms and conditions of the transactions contemplated by this Agreement in order to make an informed and voluntary decision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Financial and Business Sophistication</w:t>
      </w:r>
      <w:r>
        <w:rPr>
          <w:rFonts w:ascii="Times New Roman" w:hAnsi="Times New Roman"/>
          <w:sz w:val="20"/>
        </w:rPr>
        <w:t xml:space="preserve">. Such Backstop Party has such knowledge and experience in financial and business matters that it is fully capable of evaluating the merits and risks of the prospective investment in the Backstop Exchange. Such Backstop Party has relied solely upon its own knowledge of, and/or the advice of its own legal, financial or other advisors with regard to, the legal, financial, tax and other considerations involved in deciding to invest in the Backstop Acquired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Acquisition for Investment</w:t>
      </w:r>
      <w:r>
        <w:rPr>
          <w:rFonts w:ascii="Times New Roman" w:hAnsi="Times New Roman"/>
          <w:sz w:val="20"/>
        </w:rPr>
        <w:t xml:space="preserve">. Such Backstop Party is acquiring the Backstop Acquired Shares for its own account and not with a view to distribution and with no present intention of reselling, distributing or otherwise disposing of the same in violation of applicable securities laws. It has no present or contemplated agreement, undertaking, arrangement, obligation, indebtedness or commitment providing for, or which is likely to compel, a disposition of the Backstop Acquired Shares in any manner in violation of the applicable federal and state securities laws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Registration; Restricted Legends</w:t>
      </w:r>
      <w:r>
        <w:rPr>
          <w:rFonts w:ascii="Times New Roman" w:hAnsi="Times New Roman"/>
          <w:sz w:val="20"/>
        </w:rPr>
        <w:t xml:space="preserve">. Such Backstop Party understands and acknowledges that the Backstop Acquired Shares are being sold by the Company without registration under the Securities Act in reliance on the exemption from federal and state registration set forth in Section 4(a)(2) of the Securities Act, or any state securities laws, and accordingly, may be resold, pledged or otherwise transferred only if exemptions from the Securities Act and applicable state securities laws are available to it. It is not subscribing for the Backstop Acquired Shares as a result of or subsequent to any general advertising or, to its knowledge, general solicitation, in each case within the meaning of Rule 502(c) of Regulation D, including any advertisement, article, notice or other communication published in any newspaper, magazine or similar media or broadcast over television or radio, or presented at any seminar or meeting. It further acknowledges and agrees that all certificates or other instruments representing the Backstop Acquired Shares will bear the restrictive legend set forth below. It further acknowledges its primary responsibilities under the Securities Act and, accordingly, will not sell or otherwise transfer the Backstop Acquired Shares or any interest therein without complying with the requirements of the Securities Act and the rules and regulations promulgated thereunder. The Company has not made or is making any representation, warranty or covenant, express or implied, as to the availability of any exemption from registration under the Securities Act or any applicable state securities laws for the resale, pledge or other transfer of the Backstop Acquired Shares. </w:t>
      </w:r>
    </w:p>
    <w:p>
      <w:pPr>
        <w:pStyle w:val="TextBody"/>
        <w:bidi w:val="0"/>
        <w:spacing w:before="240" w:after="0"/>
        <w:jc w:val="left"/>
        <w:rPr>
          <w:rFonts w:ascii="Times New Roman" w:hAnsi="Times New Roman"/>
          <w:sz w:val="20"/>
        </w:rPr>
      </w:pPr>
      <w:r>
        <w:rPr>
          <w:rFonts w:ascii="Times New Roman" w:hAnsi="Times New Roman"/>
          <w:sz w:val="20"/>
        </w:rPr>
        <w:t>THE SECURITIES REPRESENTED BY THIS CERTIFICATE HAVE NOT BEEN REGISTERED UNDER THE SECURITIES ACT OF 1933, AS AMENDED (THE “</w:t>
      </w:r>
      <w:r>
        <w:rPr>
          <w:rFonts w:ascii="Times New Roman" w:hAnsi="Times New Roman"/>
          <w:sz w:val="20"/>
          <w:u w:val="single"/>
        </w:rPr>
        <w:t>SECURITIES ACT</w:t>
      </w:r>
      <w:r>
        <w:rPr>
          <w:rFonts w:ascii="Times New Roman" w:hAnsi="Times New Roman"/>
          <w:sz w:val="20"/>
        </w:rPr>
        <w:t>”), OR REGISTERED AND/OR QUALIFIED UNDER ANY STATE SECURITIES LAWS. THE SECURITIES REPRESENTED BY THIS CERTIFICATE MAY NOT BE TRANSFERRED EXCEPT (A) PURSUANT TO AN EFFECTIVE REGISTRATION STATEMENT UNDER THE SECURITIES ACT, AND REGISTRATION AND/OR QUALIFICATION UNDER APPLICABLE STATE SECURITIES LAWS, (B) IN A TRANSACTION WHICH IS EXEMPT FROM REGISTRATION UNDER THE SECURITIES ACT, AND REGISTRATION AND/OR QUALIFICATION UNDER APPLICABLE STATE SECURITIES LAWS PROVIDED</w:t>
      </w:r>
      <w:r>
        <w:rPr>
          <w:rFonts w:ascii="Times New Roman" w:hAnsi="Times New Roman"/>
          <w:sz w:val="20"/>
          <w:u w:val="single"/>
        </w:rPr>
        <w:t xml:space="preserve"> </w:t>
      </w:r>
      <w:r>
        <w:rPr>
          <w:rFonts w:ascii="Times New Roman" w:hAnsi="Times New Roman"/>
          <w:sz w:val="20"/>
        </w:rPr>
        <w:t xml:space="preserve">THAT AT THE ISSUER’S REQUEST, THE TRANSFEROR THEREOF SHALL HAVE DELIVERED TO THE ISSUER AN OPINION OF COUNSEL (WHICH OPINION SHALL BE IN FORM, SUBSTANCE AND SCOPE REASONABLY SATISFACTORY TO THE ISSUER) TO THE EFFECT THAT SUCH SECURITIES MAY BE SOLD OR TRANSFERRED PURSUANT TO AN EXEMPTION FROM SUCH REGISTRATION, OR (C) SUCH SECURITIES MAY BE SOLD PURSUANT TO RULE 144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Manipulation or Stabilization of Price</w:t>
      </w:r>
      <w:r>
        <w:rPr>
          <w:rFonts w:ascii="Times New Roman" w:hAnsi="Times New Roman"/>
          <w:sz w:val="20"/>
        </w:rPr>
        <w:t xml:space="preserve">. In connection with the Rights Offering, such Backstop Party has not taken and will not take, directly or indirectly, any action designed to or that would constitute or that might reasonably be expected to cause or result in, under the Exchange Act or otherwise, stabilization or manipulation of the price of any security of the Company in order to facilitate the sale or resale of any securities of the Company, and it is not aware of any such action taken or to be taken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Sufficiency of 2030 Notes</w:t>
      </w:r>
      <w:r>
        <w:rPr>
          <w:rFonts w:ascii="Times New Roman" w:hAnsi="Times New Roman"/>
          <w:sz w:val="20"/>
        </w:rPr>
        <w:t xml:space="preserve">. Such Backstop Party (a) holds, and at the Closing will hold, an aggregate principal amount of 2030 Notes sufficient to satisfy such Backstop Party’s obligations under the Backstop Exchange, (b) has good title to such 2030 Notes, and (c) holds such 2030 Notes free and clear of all liens, pledges, security interests, options, rights of first refusal or other encumbrances or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Ownership of Common Stock</w:t>
      </w:r>
      <w:r>
        <w:rPr>
          <w:rFonts w:ascii="Times New Roman" w:hAnsi="Times New Roman"/>
          <w:sz w:val="20"/>
        </w:rPr>
        <w:t xml:space="preserve">. Such Backstop Party has provided to the Company accurate and complete information regarding the beneficial ownership of Common Stock of such Backstop Party and its affiliates as of the Closing Date. Such Backstop Party acknowledges that the Company will rely on such information in calculating the number of shares of Common Stock available to be issued in compliance with the Ownership Limitation set forth in </w:t>
      </w:r>
      <w:r>
        <w:rPr>
          <w:rFonts w:ascii="Times New Roman" w:hAnsi="Times New Roman"/>
          <w:sz w:val="20"/>
          <w:u w:val="single"/>
        </w:rPr>
        <w:t>Section 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Group</w:t>
      </w:r>
      <w:r>
        <w:rPr>
          <w:rFonts w:ascii="Times New Roman" w:hAnsi="Times New Roman"/>
          <w:sz w:val="20"/>
        </w:rPr>
        <w:t xml:space="preserve">. Such Backstop Party represents and warrants that it is not currently (and at all times through Closing will refrain from being or becoming) a member of a “group” (within the meaning of Section 13(d)(3) or Section 14(d)(2) of the Exchange Act, or any successor provision), including any group acting for the purpose of acquiring, holding, voting or disposing of equity securities of the Company (within the meaning of Rule 13d-5(b)(1) under the Exchange Act), with any other Backstop Party. Such Backstop Party further represents and warrants that, in connection with determining such party’s Individual Backstop Commitment, it did not directly or indirectly collaborate with any other Backstop Party. Such Backstop Party acknowledges that it is making its own investment decision with respect to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Backstop Party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Powers</w:t>
      </w:r>
      <w:r>
        <w:rPr>
          <w:rFonts w:ascii="Times New Roman" w:hAnsi="Times New Roman"/>
          <w:sz w:val="20"/>
        </w:rPr>
        <w:t>. The Company and each of its subsidiaries (a) is duly incorporated, organized or formed and validly existing under the laws of the jurisdiction of its incorporation or organization, (b) has all requisite power and authority to carry on its business as now conducted and to own and lease its property, in each case except where the failure to do so would not reasonably be expected to result in a material adverse effect on the condition (financial or otherwise), earnings, business or properties of the Company and its subsidiaries, taken as a whole, or the ability of the Company to consummate the transactions contemplated by this Agreement (a “</w:t>
      </w:r>
      <w:r>
        <w:rPr>
          <w:rFonts w:ascii="Times New Roman" w:hAnsi="Times New Roman"/>
          <w:sz w:val="20"/>
          <w:u w:val="single"/>
        </w:rPr>
        <w:t>Company Material Adverse Effect</w:t>
      </w:r>
      <w:r>
        <w:rPr>
          <w:rFonts w:ascii="Times New Roman" w:hAnsi="Times New Roman"/>
          <w:sz w:val="20"/>
        </w:rPr>
        <w:t xml:space="preserve">”), and (c) is qualified and in good standing (to the extent such concept is applicable in the applicable jurisdiction) to do business in every jurisdiction where such qualification is required, except in such jurisdictions where the failure to so qualify or be in good standing, individually or in the aggregate, would not reasonably be expected to result in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Authorization, Execution and Delivery</w:t>
      </w:r>
      <w:r>
        <w:rPr>
          <w:rFonts w:ascii="Times New Roman" w:hAnsi="Times New Roman"/>
          <w:sz w:val="20"/>
        </w:rPr>
        <w:t xml:space="preserve">. The Company’s execution and delivery of this Agreement and each of the other Transaction Documents and the performance by the Company of its obligations under this Agreement and each of the other Transaction Documents, including the Backstop Exchange, has been duly and validly authorized by the Company, and this Agreement and each of the other Transaction Documents have been duly executed and delivered by the Company, and, assuming due authorization, execution and delivery by the other parties thereto, this Agreement and each of the other Transaction Documents constitute legal, valid and binding obligations of the Company,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Conflicts;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execution, delivery and performance by the Company of the Transaction Documents (a) do not require any consent or approval of, registration or filing with, or any other action by, any Governmental Authority, except (i) such as have been obtained or made and are in full force and effect, (ii) filings necessary to perfect liens created by the Transaction Documents and (iii) consents, approvals, registrations, filings, permits or actions the failure to obtain or perform which would not reasonably be expected to result in a Company Material Adverse Effect, (b) will not violate or require consent not obtained under the organizational documents of the Company or any of its subsidiaries, except as would not reasonably be expected to result in a Company Material Adverse Effect, (c) will not violate or result in a default under any indenture or other material agreement or instrument binding upon the Company or any of its subsidiaries or any of their assets, or give rise to a right thereunder to require any payment, repurchase or redemption to be made by the Company or any of its subsidiaries, or give rise to a right of, or result in, termination, cancellation or acceleration of any obligation thereunder, except, in each case, individually or in the aggregate, as would not reasonably be expected to result in a Company Material Adverse Effect, and (d) will not violate any law applicable to it except, individually or in the aggregate, as would not reasonably be expected to result in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(ii) Other than in connection with or in compliance with (a) the General Corporation Law of the State of Delaware (the “</w:t>
      </w:r>
      <w:r>
        <w:rPr>
          <w:rFonts w:ascii="Times New Roman" w:hAnsi="Times New Roman"/>
          <w:sz w:val="20"/>
          <w:u w:val="single"/>
        </w:rPr>
        <w:t>DGCL</w:t>
      </w:r>
      <w:r>
        <w:rPr>
          <w:rFonts w:ascii="Times New Roman" w:hAnsi="Times New Roman"/>
          <w:sz w:val="20"/>
        </w:rPr>
        <w:t>”), (b) the Securities Act, (c) the Exchange Act, (d) other applicable state or federal securities laws, and (e) any applicable requirements of the Nasdaq Stock Market (“</w:t>
      </w:r>
      <w:r>
        <w:rPr>
          <w:rFonts w:ascii="Times New Roman" w:hAnsi="Times New Roman"/>
          <w:sz w:val="20"/>
          <w:u w:val="single"/>
        </w:rPr>
        <w:t>Nasdaq</w:t>
      </w:r>
      <w:r>
        <w:rPr>
          <w:rFonts w:ascii="Times New Roman" w:hAnsi="Times New Roman"/>
          <w:sz w:val="20"/>
        </w:rPr>
        <w:t xml:space="preserve">”), no consent of, or registration, declaration or filing with any Governmental Authority is necessary or required, under applicable law, to be obtained or made by or with respect to the Company or any of its subsidiaries in connection with the execution, delivery and performance of this Agreement or the consummation of the transactions contemplated by this Agreement, except for such consents or filings that, if not obtained or made, would not reasonably be expected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Valid Issuance of Shares</w:t>
      </w:r>
      <w:r>
        <w:rPr>
          <w:rFonts w:ascii="Times New Roman" w:hAnsi="Times New Roman"/>
          <w:sz w:val="20"/>
        </w:rPr>
        <w:t xml:space="preserve">. All of the Backstop Acquired Shares to be issued pursuant to this Agreement will be, as of the date of their issuance, duly authorized by all necessary corporate action on the part of the Company and, when issued and delivered by the Company against payment therefor as provided in this Agreement, (i) will be validly issued, fully paid and nonassessable, (ii) will be free and clear of all liens (other than any restrictions on transfer arising under applicable securities laws), and (iii) will not be subject to any statutory or contractual preemptive rights or other similar rights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Litigation</w:t>
      </w:r>
      <w:r>
        <w:rPr>
          <w:rFonts w:ascii="Times New Roman" w:hAnsi="Times New Roman"/>
          <w:sz w:val="20"/>
        </w:rPr>
        <w:t xml:space="preserve">. There are no actions, suits or proceedings at law or in equity by or before any Governmental Authority now pending or, to the knowledge of the Company, threatened in writing against or contemplated, at law, in equity, in arbitration or before any Governmental Authority, by or against the Company or any of its subsidiaries or against any of their properties or revenues that either individually or in the aggregate, could reasonably be expected, if adversely determined,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Investment Company Act</w:t>
      </w:r>
      <w:r>
        <w:rPr>
          <w:rFonts w:ascii="Times New Roman" w:hAnsi="Times New Roman"/>
          <w:sz w:val="20"/>
        </w:rPr>
        <w:t xml:space="preserve">. Neither the Company nor any of its subsidiaries is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Nasdaq Compliance</w:t>
      </w:r>
      <w:r>
        <w:rPr>
          <w:rFonts w:ascii="Times New Roman" w:hAnsi="Times New Roman"/>
          <w:sz w:val="20"/>
        </w:rPr>
        <w:t xml:space="preserve">. The Company is in material compliance with the rules of the Nasdaq, including, without limitation, the requirements for continued listing of the Common Stock on Nasdaq, and there are no actions, suits or proceedings pending or, to the knowledge of the Company, threatened in writing against the Company, and the Company has not received any notice from Nasdaq regarding the revocation of such listing or otherwise regarding the delisting of shares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Backstop Party’s obligation to exchange 2030 Notes for shares of Common Stock pursuant to its Individual Backstop Commitment is subject to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be in compliance with its obligations under this Agreement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and warranties of the Company set forth in this Agreement shall be true and correct as of the date of this Agreement and the Closing and the failure of any such representations and warranties to be so true and correct has not resulted in, and would not reasonably be expected to result in,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(iii) the Rights Offering shall have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(iv) the Registration Rights Agreement shall have been duly authorized and executed by the Company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(v) the A&amp;R Indenture shall have been duly authorized and executed by the Company, the guarantors party thereto and the trustee party thereto; and </w:t>
      </w:r>
    </w:p>
    <w:p>
      <w:pPr>
        <w:pStyle w:val="TextBody"/>
        <w:bidi w:val="0"/>
        <w:spacing w:before="240" w:after="0"/>
        <w:jc w:val="left"/>
        <w:rPr>
          <w:rFonts w:ascii="Times New Roman" w:hAnsi="Times New Roman"/>
          <w:sz w:val="20"/>
        </w:rPr>
      </w:pPr>
      <w:r>
        <w:rPr>
          <w:rFonts w:ascii="Times New Roman" w:hAnsi="Times New Roman"/>
          <w:sz w:val="20"/>
        </w:rPr>
        <w:t xml:space="preserve">(vi) the aggregate Individual Backstop Commitments shall be at least $94,000,000, which may be waived by the Specified Backstop Parties in their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Company’s obligations hereunder are subject to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(i) the Backstop Parties shall be in compliance with their respective obligations under this Agreement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representations and warranties of the Backstop Parties hereunder shall be true and correct as of the date of this Agreement and the Closing and the failure of any such representations and warranties to be so true and correct has not resulted in, and would not reasonably be expected to result in, individually or in the aggregate, a Backstop Party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(iii) the Rights Offering shall have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(iv) each Backstop Party shall have provided to the Company the following information with respect to such Backstop Party’s 2030 Notes to be cancelled: the name of each sub-fund holding such 2030 Notes, the CUSIP number of such 2030 Notes to be cancelled, the principal amount of such 2030 Notes to be cancelled and such Backstop Party’s DTC participant name and number; </w:t>
      </w:r>
    </w:p>
    <w:p>
      <w:pPr>
        <w:pStyle w:val="TextBody"/>
        <w:bidi w:val="0"/>
        <w:spacing w:before="240" w:after="0"/>
        <w:jc w:val="left"/>
        <w:rPr>
          <w:rFonts w:ascii="Times New Roman" w:hAnsi="Times New Roman"/>
          <w:sz w:val="20"/>
        </w:rPr>
      </w:pPr>
      <w:r>
        <w:rPr>
          <w:rFonts w:ascii="Times New Roman" w:hAnsi="Times New Roman"/>
          <w:sz w:val="20"/>
        </w:rPr>
        <w:t xml:space="preserve">(v) each Backstop Party shall have delivered to the trustee and the collateral agent under the Indenture (x) confirmation of its consent to the entry into the A&amp;R Indenture, (y) any beneficial ownership certification (which, for the avoidance of doubt, shall not be required to be medallion guaranteed) and (z) such other information or documentation, reasonably requested by such trustee or the collateral agent in connection with the execution of, and entry into, the A&amp;R Indenture; and </w:t>
      </w:r>
    </w:p>
    <w:p>
      <w:pPr>
        <w:pStyle w:val="TextBody"/>
        <w:bidi w:val="0"/>
        <w:spacing w:before="240" w:after="0"/>
        <w:jc w:val="left"/>
        <w:rPr>
          <w:rFonts w:ascii="Times New Roman" w:hAnsi="Times New Roman"/>
          <w:sz w:val="20"/>
        </w:rPr>
      </w:pPr>
      <w:r>
        <w:rPr>
          <w:rFonts w:ascii="Times New Roman" w:hAnsi="Times New Roman"/>
          <w:sz w:val="20"/>
        </w:rPr>
        <w:t xml:space="preserve">(vi) the aggregate Individual Backstop Commitments shall be at least $94,000,000, which may be waived by the Company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Voting Commitment</w:t>
      </w:r>
      <w:r>
        <w:rPr>
          <w:rFonts w:ascii="Times New Roman" w:hAnsi="Times New Roman"/>
          <w:sz w:val="20"/>
        </w:rPr>
        <w:t xml:space="preserve">. Each Backstop Party hereby agrees to vote, or cause to be voted, all shares of Common Stock beneficially owned by such Backstop Party or any of its affiliates as of the applicable record date in favor of (i) an increase to the Company’s authorized shares of Common Stock of up to an additional 110,000,000 shares, and (ii) an increase in the shares of Common Stock available under each of the Company’s long-term incentive plan, employee stock purchase plan, and non-employee directors stock and deferred compensation plan, in an amount consistent with the Board’s prior authorization levels and market practices, in each case at the first meeting of the Company’s stockholders held following the closing of the Rights Offering (and at any adjournment or postponement thereof) at which such matters are submitted for stockholder approval, and shall cause all such shares to be present, in person or by proxy, for purposes of establishing a quorum at any such meeting.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Backstop Parties; Backstop Upsize</w:t>
      </w:r>
      <w:r>
        <w:rPr>
          <w:rFonts w:ascii="Times New Roman" w:hAnsi="Times New Roman"/>
          <w:sz w:val="20"/>
        </w:rPr>
        <w:t>. From the date of this Agreement until the Backstop Upsize Deadline, the Company may, without the consent of any other Backstop Party, (i) permit one or more additional holders of 2030 Notes (each, a “</w:t>
      </w:r>
      <w:r>
        <w:rPr>
          <w:rFonts w:ascii="Times New Roman" w:hAnsi="Times New Roman"/>
          <w:sz w:val="20"/>
          <w:u w:val="single"/>
        </w:rPr>
        <w:t>Joinder Backstop Party</w:t>
      </w:r>
      <w:r>
        <w:rPr>
          <w:rFonts w:ascii="Times New Roman" w:hAnsi="Times New Roman"/>
          <w:sz w:val="20"/>
        </w:rPr>
        <w:t xml:space="preserve">”) to become a party to this Agreement as a Backstop Party by executing and delivering to the Company a joinder in the form attached hereto as </w:t>
      </w:r>
      <w:r>
        <w:rPr>
          <w:rFonts w:ascii="Times New Roman" w:hAnsi="Times New Roman"/>
          <w:sz w:val="20"/>
          <w:u w:val="single"/>
        </w:rPr>
        <w:t>Exhibit B</w:t>
      </w:r>
      <w:r>
        <w:rPr>
          <w:rFonts w:ascii="Times New Roman" w:hAnsi="Times New Roman"/>
          <w:sz w:val="20"/>
        </w:rPr>
        <w:t xml:space="preserve"> (a “</w:t>
      </w:r>
      <w:r>
        <w:rPr>
          <w:rFonts w:ascii="Times New Roman" w:hAnsi="Times New Roman"/>
          <w:sz w:val="20"/>
          <w:u w:val="single"/>
        </w:rPr>
        <w:t>Joinder Agreement</w:t>
      </w:r>
      <w:r>
        <w:rPr>
          <w:rFonts w:ascii="Times New Roman" w:hAnsi="Times New Roman"/>
          <w:sz w:val="20"/>
        </w:rPr>
        <w:t xml:space="preserve">”) and (ii) permit any Backstop Party to increase its Individual Backstop Commitment by executing and delivering to the Company a commitment increase agreement in the form attached hereto as </w:t>
      </w:r>
      <w:r>
        <w:rPr>
          <w:rFonts w:ascii="Times New Roman" w:hAnsi="Times New Roman"/>
          <w:sz w:val="20"/>
          <w:u w:val="single"/>
        </w:rPr>
        <w:t>Exhibit C</w:t>
      </w:r>
      <w:r>
        <w:rPr>
          <w:rFonts w:ascii="Times New Roman" w:hAnsi="Times New Roman"/>
          <w:sz w:val="20"/>
        </w:rPr>
        <w:t xml:space="preserve">, pursuant to which such person agrees to be bound by the terms of this Agreement as a Backstop Party; </w:t>
      </w:r>
      <w:r>
        <w:rPr>
          <w:rFonts w:ascii="Times New Roman" w:hAnsi="Times New Roman"/>
          <w:sz w:val="20"/>
          <w:u w:val="single"/>
        </w:rPr>
        <w:t>provided</w:t>
      </w:r>
      <w:r>
        <w:rPr>
          <w:rFonts w:ascii="Times New Roman" w:hAnsi="Times New Roman"/>
          <w:sz w:val="20"/>
        </w:rPr>
        <w:t xml:space="preserve"> that (a) the aggregate Individual Backstop Commitments of all Backstop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after giving effect to any such Joinder Agreement or commitment increase, shall not exceed the Maximum Amount, (b) any such additional or increased Individual Backstop Commitment shall be on the same terms and conditions as apply to the Specified Backstop Parties hereunder, and (c) no such Joinder Agreement or increase shall reduce or otherwise adversely affect the Individual Backstop Commitment or other rights of any existing Backstop Party without such Backstop Party’s prior written consent. Upon the effectiveness of any such Joinder Agreement or commitment increase, </w:t>
      </w:r>
      <w:r>
        <w:rPr>
          <w:rFonts w:ascii="Times New Roman" w:hAnsi="Times New Roman"/>
          <w:sz w:val="20"/>
          <w:u w:val="single"/>
        </w:rPr>
        <w:t>Schedule A</w:t>
      </w:r>
      <w:r>
        <w:rPr>
          <w:rFonts w:ascii="Times New Roman" w:hAnsi="Times New Roman"/>
          <w:sz w:val="20"/>
        </w:rPr>
        <w:t xml:space="preserve"> shall be deemed amended to reflect the revised Backstop Parties, Individual Backstop Commitments and Backstop Percentages, and the Company shall provide a revised </w:t>
      </w:r>
      <w:r>
        <w:rPr>
          <w:rFonts w:ascii="Times New Roman" w:hAnsi="Times New Roman"/>
          <w:sz w:val="20"/>
          <w:u w:val="single"/>
        </w:rPr>
        <w:t>Schedule A</w:t>
      </w:r>
      <w:r>
        <w:rPr>
          <w:rFonts w:ascii="Times New Roman" w:hAnsi="Times New Roman"/>
          <w:sz w:val="20"/>
        </w:rPr>
        <w:t xml:space="preserve"> to each Backstop Party. “</w:t>
      </w:r>
      <w:r>
        <w:rPr>
          <w:rFonts w:ascii="Times New Roman" w:hAnsi="Times New Roman"/>
          <w:sz w:val="20"/>
          <w:u w:val="single"/>
        </w:rPr>
        <w:t>Backstop Upsize Deadline</w:t>
      </w:r>
      <w:r>
        <w:rPr>
          <w:rFonts w:ascii="Times New Roman" w:hAnsi="Times New Roman"/>
          <w:sz w:val="20"/>
        </w:rPr>
        <w:t xml:space="preserve">” means August 21, 2026.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Restrictions on 2030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From the date of this Agreement until the earlier of the Closing and the valid termination of this Agreement in accordance with </w:t>
      </w:r>
      <w:r>
        <w:rPr>
          <w:rFonts w:ascii="Times New Roman" w:hAnsi="Times New Roman"/>
          <w:sz w:val="20"/>
          <w:u w:val="single"/>
        </w:rPr>
        <w:t>Section 6</w:t>
      </w:r>
      <w:r>
        <w:rPr>
          <w:rFonts w:ascii="Times New Roman" w:hAnsi="Times New Roman"/>
          <w:sz w:val="20"/>
        </w:rPr>
        <w:t>, each Backstop Party shall not, directly or indirectly, sell, assign, transfer, pledge, hypothecate, grant any participation in, or otherwise dispose of or encumber (each, a “</w:t>
      </w:r>
      <w:r>
        <w:rPr>
          <w:rFonts w:ascii="Times New Roman" w:hAnsi="Times New Roman"/>
          <w:sz w:val="20"/>
          <w:u w:val="single"/>
        </w:rPr>
        <w:t>Transfer</w:t>
      </w:r>
      <w:r>
        <w:rPr>
          <w:rFonts w:ascii="Times New Roman" w:hAnsi="Times New Roman"/>
          <w:sz w:val="20"/>
        </w:rPr>
        <w:t xml:space="preserve">”), or create or permit to exist any lien on, any 2030 Notes required to satisfy such Backstop Party’s obligations under the Backstop Exchange as set forth on </w:t>
      </w:r>
      <w:r>
        <w:rPr>
          <w:rFonts w:ascii="Times New Roman" w:hAnsi="Times New Roman"/>
          <w:sz w:val="20"/>
          <w:u w:val="single"/>
        </w:rPr>
        <w:t>Schedule A</w:t>
      </w:r>
      <w:r>
        <w:rPr>
          <w:rFonts w:ascii="Times New Roman" w:hAnsi="Times New Roman"/>
          <w:sz w:val="20"/>
        </w:rPr>
        <w:t xml:space="preserve">, in each case other than: </w:t>
      </w:r>
    </w:p>
    <w:p>
      <w:pPr>
        <w:pStyle w:val="TextBody"/>
        <w:bidi w:val="0"/>
        <w:spacing w:before="240" w:after="0"/>
        <w:jc w:val="left"/>
        <w:rPr>
          <w:rFonts w:ascii="Times New Roman" w:hAnsi="Times New Roman"/>
          <w:sz w:val="20"/>
        </w:rPr>
      </w:pPr>
      <w:r>
        <w:rPr>
          <w:rFonts w:ascii="Times New Roman" w:hAnsi="Times New Roman"/>
          <w:sz w:val="20"/>
        </w:rPr>
        <w:t xml:space="preserve">(A) to a transferee that is either (x) a QIB, (y) an Accredited Investor, or (z) a Backstop Party; and </w:t>
      </w:r>
    </w:p>
    <w:p>
      <w:pPr>
        <w:pStyle w:val="TextBody"/>
        <w:bidi w:val="0"/>
        <w:spacing w:before="240" w:after="0"/>
        <w:jc w:val="left"/>
        <w:rPr>
          <w:rFonts w:ascii="Times New Roman" w:hAnsi="Times New Roman"/>
          <w:sz w:val="20"/>
        </w:rPr>
      </w:pPr>
      <w:r>
        <w:rPr>
          <w:rFonts w:ascii="Times New Roman" w:hAnsi="Times New Roman"/>
          <w:sz w:val="20"/>
        </w:rPr>
        <w:t xml:space="preserve">(B) the transferee executes and delivers to counsel to the Company, before the effectiveness of the proposed Transfer, a Joinder Agreement which commits the transferee to the same Individual Backstop Commitment and Backstop Percentage as the Backstop Party transferring the 2030 Notes, pro rata based on the principal amount of 2030 Notes to be transferred. </w:t>
      </w:r>
    </w:p>
    <w:p>
      <w:pPr>
        <w:pStyle w:val="TextBody"/>
        <w:bidi w:val="0"/>
        <w:spacing w:before="240" w:after="0"/>
        <w:jc w:val="left"/>
        <w:rPr>
          <w:rFonts w:ascii="Times New Roman" w:hAnsi="Times New Roman"/>
          <w:sz w:val="20"/>
        </w:rPr>
      </w:pPr>
      <w:r>
        <w:rPr>
          <w:rFonts w:ascii="Times New Roman" w:hAnsi="Times New Roman"/>
          <w:sz w:val="20"/>
        </w:rPr>
        <w:t xml:space="preserve">(ii) Upon compliance with the requirements of this </w:t>
      </w:r>
      <w:r>
        <w:rPr>
          <w:rFonts w:ascii="Times New Roman" w:hAnsi="Times New Roman"/>
          <w:sz w:val="20"/>
          <w:u w:val="single"/>
        </w:rPr>
        <w:t>Section 5(c)</w:t>
      </w:r>
      <w:r>
        <w:rPr>
          <w:rFonts w:ascii="Times New Roman" w:hAnsi="Times New Roman"/>
          <w:sz w:val="20"/>
        </w:rPr>
        <w:t xml:space="preserve">, the transferor shall be deemed to relinquish its rights (and be released from its obligations) under this Agreement with respect to the 2030 Notes that are Transferred. Any Transfer or purported Transfer in violation of this </w:t>
      </w:r>
      <w:r>
        <w:rPr>
          <w:rFonts w:ascii="Times New Roman" w:hAnsi="Times New Roman"/>
          <w:sz w:val="20"/>
          <w:u w:val="single"/>
        </w:rPr>
        <w:t>Section 5(c)</w:t>
      </w:r>
      <w:r>
        <w:rPr>
          <w:rFonts w:ascii="Times New Roman" w:hAnsi="Times New Roman"/>
          <w:sz w:val="20"/>
        </w:rPr>
        <w:t xml:space="preserve"> shall be null and void ab initio. </w:t>
      </w:r>
    </w:p>
    <w:p>
      <w:pPr>
        <w:pStyle w:val="TextBody"/>
        <w:bidi w:val="0"/>
        <w:spacing w:before="240" w:after="0"/>
        <w:jc w:val="left"/>
        <w:rPr>
          <w:rFonts w:ascii="Times New Roman" w:hAnsi="Times New Roman"/>
          <w:sz w:val="20"/>
        </w:rPr>
      </w:pPr>
      <w:r>
        <w:rPr>
          <w:rFonts w:ascii="Times New Roman" w:hAnsi="Times New Roman"/>
          <w:sz w:val="20"/>
        </w:rPr>
        <w:t xml:space="preserve">(iii) This </w:t>
      </w:r>
      <w:r>
        <w:rPr>
          <w:rFonts w:ascii="Times New Roman" w:hAnsi="Times New Roman"/>
          <w:sz w:val="20"/>
          <w:u w:val="single"/>
        </w:rPr>
        <w:t>Section 5(c)</w:t>
      </w:r>
      <w:r>
        <w:rPr>
          <w:rFonts w:ascii="Times New Roman" w:hAnsi="Times New Roman"/>
          <w:sz w:val="20"/>
        </w:rPr>
        <w:t xml:space="preserve"> shall not impose any obligation on the Company to issue any “cleansing letter” or otherwise publicly disclose information for the purpose of enabling a Backstop Party to Transfer any of its 2030 Notes. </w:t>
      </w:r>
    </w:p>
    <w:p>
      <w:pPr>
        <w:pStyle w:val="TextBody"/>
        <w:bidi w:val="0"/>
        <w:spacing w:before="240" w:after="0"/>
        <w:jc w:val="left"/>
        <w:rPr>
          <w:rFonts w:ascii="Times New Roman" w:hAnsi="Times New Roman"/>
          <w:sz w:val="20"/>
        </w:rPr>
      </w:pPr>
      <w:r>
        <w:rPr>
          <w:rFonts w:ascii="Times New Roman" w:hAnsi="Times New Roman"/>
          <w:sz w:val="20"/>
        </w:rPr>
        <w:t xml:space="preserve">(iv) Notwithstanding </w:t>
      </w:r>
      <w:r>
        <w:rPr>
          <w:rFonts w:ascii="Times New Roman" w:hAnsi="Times New Roman"/>
          <w:sz w:val="20"/>
          <w:u w:val="single"/>
        </w:rPr>
        <w:t>Section 5(c)(i)(B)</w:t>
      </w:r>
      <w:r>
        <w:rPr>
          <w:rFonts w:ascii="Times New Roman" w:hAnsi="Times New Roman"/>
          <w:sz w:val="20"/>
        </w:rPr>
        <w:t xml:space="preserve">, a Qualified Marketmaker that acquires any 2030 Notes with the purpose and intent of acting as a Qualified Marketmaker for such 2030 Notes shall not be required to execute and deliver a Joinder Agreement in respect of 2030 Notes if: </w:t>
      </w:r>
    </w:p>
    <w:p>
      <w:pPr>
        <w:pStyle w:val="TextBody"/>
        <w:bidi w:val="0"/>
        <w:spacing w:before="240" w:after="0"/>
        <w:jc w:val="left"/>
        <w:rPr>
          <w:rFonts w:ascii="Times New Roman" w:hAnsi="Times New Roman"/>
          <w:sz w:val="20"/>
        </w:rPr>
      </w:pPr>
      <w:r>
        <w:rPr>
          <w:rFonts w:ascii="Times New Roman" w:hAnsi="Times New Roman"/>
          <w:sz w:val="20"/>
        </w:rPr>
        <w:t xml:space="preserve">(A) such Qualified Marketmaker subsequently Transfers such 2030 Notes (by purchase, sale assignment, participation, or otherwise) within two (2) business days of its acquisition to a transferee that is an entity that is not an affiliate, affiliated fund, or affiliated entity with a common investment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transferee otherwise is a permitted transferee under </w:t>
      </w:r>
      <w:r>
        <w:rPr>
          <w:rFonts w:ascii="Times New Roman" w:hAnsi="Times New Roman"/>
          <w:sz w:val="20"/>
          <w:u w:val="single"/>
        </w:rPr>
        <w:t>Section 5(c)(i)(B)</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(C) the Transfer otherwise is a permitted Transfer under </w:t>
      </w:r>
      <w:r>
        <w:rPr>
          <w:rFonts w:ascii="Times New Roman" w:hAnsi="Times New Roman"/>
          <w:sz w:val="20"/>
          <w:u w:val="single"/>
        </w:rPr>
        <w:t>Section 5(c)(i)</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a Qualified Marketmaker does not Transfer such 2030 Notes to a Backstop Party or a subsequent transferee permitted under this </w:t>
      </w:r>
      <w:r>
        <w:rPr>
          <w:rFonts w:ascii="Times New Roman" w:hAnsi="Times New Roman"/>
          <w:sz w:val="20"/>
          <w:u w:val="single"/>
        </w:rPr>
        <w:t>Section 5(c)</w:t>
      </w:r>
      <w:r>
        <w:rPr>
          <w:rFonts w:ascii="Times New Roman" w:hAnsi="Times New Roman"/>
          <w:sz w:val="20"/>
        </w:rPr>
        <w:t xml:space="preserve"> within five (5) business days after its acquisition thereof, it must execute and deliver a Joinder Agreement within two (2) business days after the expiration of such period to counsel to the Company. </w:t>
      </w:r>
    </w:p>
    <w:p>
      <w:pPr>
        <w:pStyle w:val="TextBody"/>
        <w:bidi w:val="0"/>
        <w:spacing w:before="240" w:after="0"/>
        <w:jc w:val="left"/>
        <w:rPr>
          <w:rFonts w:ascii="Times New Roman" w:hAnsi="Times New Roman"/>
          <w:sz w:val="20"/>
        </w:rPr>
      </w:pPr>
      <w:r>
        <w:rPr>
          <w:rFonts w:ascii="Times New Roman" w:hAnsi="Times New Roman"/>
          <w:sz w:val="20"/>
        </w:rPr>
        <w:t>Additionally, if such Qualified Marketmaker does not Transfer such 2030 Notes to a subsequent permitted transferee prior to the second (2nd) business day prior to the Closing of the Rights Offering (such date, the “</w:t>
      </w:r>
      <w:r>
        <w:rPr>
          <w:rFonts w:ascii="Times New Roman" w:hAnsi="Times New Roman"/>
          <w:sz w:val="20"/>
          <w:u w:val="single"/>
        </w:rPr>
        <w:t>Qualified Marketmaker Joinder Date</w:t>
      </w:r>
      <w:r>
        <w:rPr>
          <w:rFonts w:ascii="Times New Roman" w:hAnsi="Times New Roman"/>
          <w:sz w:val="20"/>
        </w:rPr>
        <w:t xml:space="preserve">”), such Qualified Marketmaker shall be required to (and the transfer documentation to the Qualified Marketmaker shall have provided that it shall), on the first (1st) business day immediately following the Qualified Marketmaker Joinder Date, sign a Joinder Agreement in accordance with the terms hereof (provided that the Qualified Marketmaker shall automatically, and without further notice or action, no longer be a Backstop Party at such time that a permitted transferee of such 2030 Notes signs a Joinder Agreement with respect to such 2030 Notes). </w:t>
      </w:r>
    </w:p>
    <w:p>
      <w:pPr>
        <w:pStyle w:val="TextBody"/>
        <w:bidi w:val="0"/>
        <w:spacing w:before="240" w:after="0"/>
        <w:jc w:val="left"/>
        <w:rPr>
          <w:rFonts w:ascii="Times New Roman" w:hAnsi="Times New Roman"/>
          <w:sz w:val="20"/>
        </w:rPr>
      </w:pPr>
      <w:r>
        <w:rPr>
          <w:rFonts w:ascii="Times New Roman" w:hAnsi="Times New Roman"/>
          <w:sz w:val="20"/>
        </w:rPr>
        <w:t xml:space="preserve">(v) Notwithstanding anything to the contrary herein, any Backstop Party may, at any time prior to the Closing, assign or reallocate all or any portion of its Individual Backstop Commitment, together with the corresponding rights and obligations under this Agreement, to one or more of its Related Funds, upon written notice to the Company (email being sufficient) and delivery by each such Related Fund, if not already a Backstop Party, of a Joinder Agreement. No consent of the Company or any other Person shall be required for any such assignment or reallocation. Upon the effectiveness thereof, </w:t>
      </w:r>
      <w:r>
        <w:rPr>
          <w:rFonts w:ascii="Times New Roman" w:hAnsi="Times New Roman"/>
          <w:sz w:val="20"/>
          <w:u w:val="single"/>
        </w:rPr>
        <w:t>Schedule A</w:t>
      </w:r>
      <w:r>
        <w:rPr>
          <w:rFonts w:ascii="Times New Roman" w:hAnsi="Times New Roman"/>
          <w:sz w:val="20"/>
        </w:rPr>
        <w:t xml:space="preserve"> shall be deemed amended to reflect the applicable Related Fund and the revised Individual Backstop Commitments and Backstop Percentages. The transferring Backstop Party shall be released from the portion of its Individual Backstop Commitment so assigned or reallocated, and the applicable Related Fund shall assume such portion; </w:t>
      </w:r>
      <w:r>
        <w:rPr>
          <w:rFonts w:ascii="Times New Roman" w:hAnsi="Times New Roman"/>
          <w:sz w:val="20"/>
          <w:u w:val="single"/>
        </w:rPr>
        <w:t>provided</w:t>
      </w:r>
      <w:r>
        <w:rPr>
          <w:rFonts w:ascii="Times New Roman" w:hAnsi="Times New Roman"/>
          <w:sz w:val="20"/>
        </w:rPr>
        <w:t xml:space="preserve"> that no such assignment or reallocation shall invalidate, withdraw, reduce or otherwise affect such transferring Backstop Party’s obligation to provide any consent required by this Agreement to be delivered by the transferring Backstop Party in its capacity as a holder of 2030 Notes, including any consent to the entry into the A&amp;R Indenture. For the avoidance of doubt, if the transferring Backstop Party assigns all of its Individual Backstop Commitment pursuant to this Section 5(c)(v), it shall be required to deliver a Limited Joinder in the form attached as Exhibit F to counsel to the Company at the time of the transfer.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Commercially Reasonable Efforts</w:t>
      </w:r>
      <w:r>
        <w:rPr>
          <w:rFonts w:ascii="Times New Roman" w:hAnsi="Times New Roman"/>
          <w:sz w:val="20"/>
        </w:rPr>
        <w:t xml:space="preserve">. Each Party shall use its commercially reasonable efforts to take, or cause to be taken, all actions and to do, or cause to be done, all things reasonably necessary, proper or advisable to consummate the transactions contemplated by this Agreement, including the satisfaction (but not the waiver) of the conditions set forth in </w:t>
      </w:r>
      <w:r>
        <w:rPr>
          <w:rFonts w:ascii="Times New Roman" w:hAnsi="Times New Roman"/>
          <w:sz w:val="20"/>
          <w:u w:val="single"/>
        </w:rPr>
        <w:t>Section 4</w:t>
      </w:r>
      <w:r>
        <w:rPr>
          <w:rFonts w:ascii="Times New Roman" w:hAnsi="Times New Roman"/>
          <w:sz w:val="20"/>
        </w:rPr>
        <w:t xml:space="preserve">. Without limiting the foregoing, the Company shall use its commercially reasonable efforts to (i) consummate the Rights Offering, (ii) prepare and file with the SEC the Prospectus Supplement and any other documentation required in connection with the Rights Offering, and (iii) structure and conduct the Rights Offering to qualify as a public offering under the applicable rules of Nasdaq such that no approval of the Company’s stockholders is required under the Nasdaq listing rules in connection with the issuance of the Backstop Acquired Shares, and to avoid triggering any change of control approval requirement under such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Reservation of Shares</w:t>
      </w:r>
      <w:r>
        <w:rPr>
          <w:rFonts w:ascii="Times New Roman" w:hAnsi="Times New Roman"/>
          <w:sz w:val="20"/>
        </w:rPr>
        <w:t xml:space="preserve">. The Company shall, from the date of this Agreement through the Closing, reserve and keep available out of its authorized but unissued Common Stock, solely for the purpose of effecting the Rights Offering and the Backstop Exchange, such number of shares of Common Stock as shall be sufficient to issue all shares of Common Stock issuable pursuant to the Rights Offering and the Backstop Exchange (including all Backstop Acquired Shares), and shall use its commercially reasonable efforts to cause a sufficient number of shares of Common Stock to be authorized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Tax Documentation</w:t>
      </w:r>
      <w:r>
        <w:rPr>
          <w:rFonts w:ascii="Times New Roman" w:hAnsi="Times New Roman"/>
          <w:sz w:val="20"/>
        </w:rPr>
        <w:t>. Unless a Backstop Party has previously delivered to the Company a properly completed and duly executed original Internal Revenue Service (“</w:t>
      </w:r>
      <w:r>
        <w:rPr>
          <w:rFonts w:ascii="Times New Roman" w:hAnsi="Times New Roman"/>
          <w:sz w:val="20"/>
          <w:u w:val="single"/>
        </w:rPr>
        <w:t>IRS</w:t>
      </w:r>
      <w:r>
        <w:rPr>
          <w:rFonts w:ascii="Times New Roman" w:hAnsi="Times New Roman"/>
          <w:sz w:val="20"/>
        </w:rPr>
        <w:t>”) Form W-9 or applicable W-8 (including any forms, documents or schedules required to be attached thereto, including any Portfolio Interest Exemption Certificate (as defined below)) that remains accurate and valid as of the Closing Date, each Backstop Party covenants and agrees to deliver to the Company at least three (3) business days prior to the Closing Date, properly completed and duly executed originals of whichever of the following is applicable to such Backstop Party: (a) an IRS Form W-9 or (b) an IRS Form W-8BEN-E, IRS Form W-8BEN or other applicable IRS Form W-8 (including any IRS forms, documents or schedules required to be attached thereto, including, in the case of a Backstop Party claiming the benefits of the exemption for portfolio interest under Section 881(c) of the Internal Revenue Code, as amended (the “</w:t>
      </w:r>
      <w:r>
        <w:rPr>
          <w:rFonts w:ascii="Times New Roman" w:hAnsi="Times New Roman"/>
          <w:sz w:val="20"/>
          <w:u w:val="single"/>
        </w:rPr>
        <w:t>Code</w:t>
      </w:r>
      <w:r>
        <w:rPr>
          <w:rFonts w:ascii="Times New Roman" w:hAnsi="Times New Roman"/>
          <w:sz w:val="20"/>
        </w:rPr>
        <w:t>”), a certificate to the effect that such Backstop Party is not a “bank” within the meaning of Section 881(c)(3)(A) of the Code, a “10 percent shareholder” of the Company within the meaning of Section 881(c)(3)(B) of the Code, or a “controlled foreign corporation” related to the Company as described in Section 881(c)(3)(C) of the Code) (the “</w:t>
      </w:r>
      <w:r>
        <w:rPr>
          <w:rFonts w:ascii="Times New Roman" w:hAnsi="Times New Roman"/>
          <w:sz w:val="20"/>
          <w:u w:val="single"/>
        </w:rPr>
        <w:t>Portfolio Interest Exemption Certificate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such Backstop Party acknowledges and agrees that if it fails to provide such forms or other documentation discussed in this </w:t>
      </w:r>
      <w:r>
        <w:rPr>
          <w:rFonts w:ascii="Times New Roman" w:hAnsi="Times New Roman"/>
          <w:sz w:val="20"/>
          <w:u w:val="single"/>
        </w:rPr>
        <w:t>Section 5(f)</w:t>
      </w:r>
      <w:r>
        <w:rPr>
          <w:rFonts w:ascii="Times New Roman" w:hAnsi="Times New Roman"/>
          <w:sz w:val="20"/>
        </w:rPr>
        <w:t xml:space="preserve"> that establishes an exemption to U.S. federal withholding tax at least three (3) business days prior to the Closing Date, then the Company may be entitled to deduct and withhold from any amounts otherwise payable pursuant to this Agreement as a result of the Backstop Exchange such amounts as are required to be deducted and withheld under applicable law; </w:t>
      </w:r>
      <w:r>
        <w:rPr>
          <w:rFonts w:ascii="Times New Roman" w:hAnsi="Times New Roman"/>
          <w:sz w:val="20"/>
          <w:u w:val="single"/>
        </w:rPr>
        <w:t>provided</w:t>
      </w:r>
      <w:r>
        <w:rPr>
          <w:rFonts w:ascii="Times New Roman" w:hAnsi="Times New Roman"/>
          <w:sz w:val="20"/>
        </w:rPr>
        <w:t xml:space="preserve">, further, that the Company shall (i) provide written notice to the applicable Backstop Party reasonably in advance of any such deduction or withholding and (ii) cooperate in good faith with such Backstop Party to reduce or eliminate any such deduction or withholding. Any amounts so deducted and withheld shall be treated for all purposes of this Agreement as having been paid to the person in respect of which such deduction and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Removal of Legends</w:t>
      </w:r>
      <w:r>
        <w:rPr>
          <w:rFonts w:ascii="Times New Roman" w:hAnsi="Times New Roman"/>
          <w:sz w:val="20"/>
        </w:rPr>
        <w:t xml:space="preserve">. The Company shall promptly remove the legend set forth in </w:t>
      </w:r>
      <w:r>
        <w:rPr>
          <w:rFonts w:ascii="Times New Roman" w:hAnsi="Times New Roman"/>
          <w:sz w:val="20"/>
          <w:u w:val="single"/>
        </w:rPr>
        <w:t>Section 2(i)</w:t>
      </w:r>
      <w:r>
        <w:rPr>
          <w:rFonts w:ascii="Times New Roman" w:hAnsi="Times New Roman"/>
          <w:sz w:val="20"/>
        </w:rPr>
        <w:t xml:space="preserve">, and the Company shall issue a certificate (or book entry notation, as applicable) without such legend or any other legend to the holder of the applicable Backstop Acquired Shares upon which it is stamped or issue to such holder by electronic delivery at the applicable balance account at DTC, if (i) such shares are registered for resale under the Securities Act and sold pursuant to an effective registration statement registering the shares for resale, (ii) such shares are sold or transferred pursuant to and in compliance with Rule 144 or another similar exemption from registration, or (iii) the Company receives (a) customary broker and holder representation letters from the holder of such shares, (b) an opinion of counsel, in form, substance and scope customary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opinions of counsel in comparable transactions, to the effect that such shares are eligible for sale under Rule 144, without the requirement for the Company to be in compliance with the current public information required under Rule 144 as to such securities and without volume or manner-of-sale restrictions and (c) other customary documentation required by the Company’s transfer agent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Further Assurances</w:t>
      </w:r>
      <w:r>
        <w:rPr>
          <w:rFonts w:ascii="Times New Roman" w:hAnsi="Times New Roman"/>
          <w:sz w:val="20"/>
        </w:rPr>
        <w:t xml:space="preserve">. From time to time, at the reasonable request of another Party and without further consideration, each Party shall execute and deliver such additional documents and instruments and take such further actions as may be reasonably necessary to consummate and give effect to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Tax Treatment</w:t>
      </w:r>
      <w:r>
        <w:rPr>
          <w:rFonts w:ascii="Times New Roman" w:hAnsi="Times New Roman"/>
          <w:sz w:val="20"/>
        </w:rPr>
        <w:t xml:space="preserve">. The Parties intend, and shall report, the Backstop Exchange as a reorganization within the meaning of Section 368(a)(1)(E) of the Code and intend this Agreement to constitute a plan of reorganization for purposes of Treasury Regulations Section 1.368-2(g), unless otherwise required pursuant to a “determination” within the meaning of Section 1313(a)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Group</w:t>
      </w:r>
      <w:r>
        <w:rPr>
          <w:rFonts w:ascii="Times New Roman" w:hAnsi="Times New Roman"/>
          <w:sz w:val="20"/>
        </w:rPr>
        <w:t xml:space="preserve">. At all times from Closing until the later of (x) the maturity date of that certain Credit Agreement, dated as of March 7, 2025, by and among the Company, Eclipse Business Capital LLC, and the lenders party thereto, and (y) the date that any Parties forming a group do not constitute a “control group” or “controlling stockholder” pursuant to the definitions under Section 144(e) of the DGCL, each Backstop Party agrees to refrain from being or becoming a member of a “group” (within the meaning of Section 13(d)(3) or Section 14(d)(2) of the Exchange Act, or any successor provision), including any group acting for the purpose of acquiring, holding, voting or disposing of equity securities of the Company (within the meaning of Rule 13d-5(b)(1) under the Exchange Act), with any other Backstop Party, excluding members of any pre-existing “group” that such Backstop Party may have been part of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DWAC Withdrawal</w:t>
      </w:r>
      <w:r>
        <w:rPr>
          <w:rFonts w:ascii="Times New Roman" w:hAnsi="Times New Roman"/>
          <w:sz w:val="20"/>
        </w:rPr>
        <w:t>. On the Closing Date, each Backstop Party shall use commercially reasonable efforts to cause its DTC participant to submit, separately for each applicable sub-fund, a one-sided Deposit Withdrawal at Custodian Request withdrawal instruction (each, a “</w:t>
      </w:r>
      <w:r>
        <w:rPr>
          <w:rFonts w:ascii="Times New Roman" w:hAnsi="Times New Roman"/>
          <w:sz w:val="20"/>
          <w:u w:val="single"/>
        </w:rPr>
        <w:t>2030 Notes DWAC Withdrawal</w:t>
      </w:r>
      <w:r>
        <w:rPr>
          <w:rFonts w:ascii="Times New Roman" w:hAnsi="Times New Roman"/>
          <w:sz w:val="20"/>
        </w:rPr>
        <w:t xml:space="preserve">”) for an aggregate principal amount of 2030 Notes equal to such Backstop Party’s Individual Backstop Commitment. If a Backstop Party does not submit its 2030 Notes DWAC Withdrawal on the Closing Date, such Backstop Party shall notify the Company on the business day on which such 2030 Notes DWAC Withdrawal is submitted. Each Backstop Party acknowledges that a 2030 Notes DWAC Withdrawal may not be submitted before the Closing Date and that any 2030 Notes DWAC Withdrawal submitted before the Closing Date will expire unaccepted and must be resubmitted on the Closing Date or such later business day as such Backstop Party notifies the Company in writing pursuant to the preceding sentence. The Company shall use commercially reasonable efforts to cause each 2030 Notes DWAC Withdrawal submitted on the Closing Date to be approved on the Closing Date. If any Backstop Party’s 2030 Notes are not cancelled on the Closing Date, such Backstop Party shall use commercially reasonable efforts to resubmit the applicable 2030 Notes DWAC Withdrawal on the immediately following business day, and the Company shall use commercially reasonable efforts to cause such resubmitted 2030 Notes DWAC Withdrawal to be approved on such date. If any 2030 Notes DWAC Withdrawal is not located or does not conform to the information provided by the applicable Backstop Party in </w:t>
      </w:r>
      <w:r>
        <w:rPr>
          <w:rFonts w:ascii="Times New Roman" w:hAnsi="Times New Roman"/>
          <w:sz w:val="20"/>
          <w:u w:val="single"/>
        </w:rPr>
        <w:t>Section 4(b)(iv)</w:t>
      </w:r>
      <w:r>
        <w:rPr>
          <w:rFonts w:ascii="Times New Roman" w:hAnsi="Times New Roman"/>
          <w:sz w:val="20"/>
        </w:rPr>
        <w:t xml:space="preserve">, the Company will promptly notify the applicable Backstop Party and the Backstop Party and the Company shall cooperate and use their commercially reasonable efforts to ensure that the 2030 Notes are cancelled as soon as reasonably practicable after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By Written Consent; Other</w:t>
      </w:r>
      <w:r>
        <w:rPr>
          <w:rFonts w:ascii="Times New Roman" w:hAnsi="Times New Roman"/>
          <w:sz w:val="20"/>
        </w:rPr>
        <w:t xml:space="preserve">. This Agreement shall terminate automatically without any action by or on behalf of any Party or any other person if (i) the Rights Offering is validly terminated in accordance with its terms without being consummated, or (ii) upon the Parties’ mutual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of Termination</w:t>
      </w:r>
      <w:r>
        <w:rPr>
          <w:rFonts w:ascii="Times New Roman" w:hAnsi="Times New Roman"/>
          <w:sz w:val="20"/>
        </w:rPr>
        <w:t xml:space="preserve">. The Company and the Backstop Parties hereby agree that any termination of this Agreement pursuant to </w:t>
      </w:r>
      <w:r>
        <w:rPr>
          <w:rFonts w:ascii="Times New Roman" w:hAnsi="Times New Roman"/>
          <w:sz w:val="20"/>
          <w:u w:val="single"/>
        </w:rPr>
        <w:t>Section 6(a)</w:t>
      </w:r>
      <w:r>
        <w:rPr>
          <w:rFonts w:ascii="Times New Roman" w:hAnsi="Times New Roman"/>
          <w:sz w:val="20"/>
        </w:rPr>
        <w:t xml:space="preserve"> (other than termination by one Party in the event of a willful and material breach of a Party of, or fraud with respect to, any of such Party’s representations, warranties, covenants or agreements set forth in this Agreement occurring prior to such termination), shall be without liability to the Company or any Backstop Party.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Board Designation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Initial Board Appointments</w:t>
      </w:r>
      <w:r>
        <w:rPr>
          <w:rFonts w:ascii="Times New Roman" w:hAnsi="Times New Roman"/>
          <w:sz w:val="20"/>
        </w:rPr>
        <w:t>. Effective as of the Closing, each Specified Backstop Party that, together with its Controlled Affiliates (as defined below), holds at least 10% of the outstanding Common Stock after giving effect to the Closing (each such party, a “</w:t>
      </w:r>
      <w:r>
        <w:rPr>
          <w:rFonts w:ascii="Times New Roman" w:hAnsi="Times New Roman"/>
          <w:sz w:val="20"/>
          <w:u w:val="single"/>
        </w:rPr>
        <w:t>Designating Holder</w:t>
      </w:r>
      <w:r>
        <w:rPr>
          <w:rFonts w:ascii="Times New Roman" w:hAnsi="Times New Roman"/>
          <w:sz w:val="20"/>
        </w:rPr>
        <w:t>”), shall have the right to designate one individual who is an Acceptable Person (as defined below) for appointment to the board of directors (the “</w:t>
      </w:r>
      <w:r>
        <w:rPr>
          <w:rFonts w:ascii="Times New Roman" w:hAnsi="Times New Roman"/>
          <w:sz w:val="20"/>
          <w:u w:val="single"/>
        </w:rPr>
        <w:t>Board</w:t>
      </w:r>
      <w:r>
        <w:rPr>
          <w:rFonts w:ascii="Times New Roman" w:hAnsi="Times New Roman"/>
          <w:sz w:val="20"/>
        </w:rPr>
        <w:t>”) of the Company (each, a “</w:t>
      </w:r>
      <w:r>
        <w:rPr>
          <w:rFonts w:ascii="Times New Roman" w:hAnsi="Times New Roman"/>
          <w:sz w:val="20"/>
          <w:u w:val="single"/>
        </w:rPr>
        <w:t>Designated Director</w:t>
      </w:r>
      <w:r>
        <w:rPr>
          <w:rFonts w:ascii="Times New Roman" w:hAnsi="Times New Roman"/>
          <w:sz w:val="20"/>
        </w:rPr>
        <w:t xml:space="preserve">”). The Company shall use its reasonable best efforts to cause each Designated Director to be appointed to the Board effective as of the Closing. The Company shall take all actions reasonably necessary or appropriate to increase the size of the Board, or to create vacancies on the Board, as is necessary to permit the appointment of each Designated Director in accordance with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Nomination Rights</w:t>
      </w:r>
      <w:r>
        <w:rPr>
          <w:rFonts w:ascii="Times New Roman" w:hAnsi="Times New Roman"/>
          <w:sz w:val="20"/>
        </w:rPr>
        <w:t xml:space="preserve">. From the Closing until the applicable Designating Holder (together with its Controlled Affiliates) is no longer the beneficial owner of at least 7.5% of the outstanding Common Stock calculated in accordance with Rule 13d-3 under the Securities Act (at which point the following rights shall permanently terminate), each Designating Holder shall have the right (subject to any limitations under applicable listing standards, requirements and rules of Nasdaq) to have its Designated Director included in the Company’s slate of nominees recommended by the Board for election at each annual meeting of stockholders of the Company. The Company shall (i) nominate and recommend each such Designated Director for election to the Board, and (ii) use the same efforts to cause the election of such Designated Director as it uses to cause other nominees recommended by the Board to be elected, including by soliciting proxies or consents in favor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Vacancies</w:t>
      </w:r>
      <w:r>
        <w:rPr>
          <w:rFonts w:ascii="Times New Roman" w:hAnsi="Times New Roman"/>
          <w:sz w:val="20"/>
        </w:rPr>
        <w:t xml:space="preserve">. If at any time a Designated Director ceases to serve as a member of the Board (whether due to death, resignation, removal, failure to be elected or otherwise) while the applicable Designating Holder (together with its Controlled Affiliates) continues to hold at least 7.5% of the outstanding Common Stock, such Designating Holder shall have the right to designate a replacement who is an Acceptable Person to fill such vacancy, and the Company shall take all reasonable actions within its control to cause such replacement to be appointed to the Board as soon as reasonably practicable. No delay by a Designating Holder in designating a Designated Director or a replacement shall impair such Designating Holder’s right to subsequently make such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Acceptable Person</w:t>
      </w:r>
      <w:r>
        <w:rPr>
          <w:rFonts w:ascii="Times New Roman" w:hAnsi="Times New Roman"/>
          <w:sz w:val="20"/>
        </w:rPr>
        <w:t xml:space="preserve">. For purposes of this </w:t>
      </w:r>
      <w:r>
        <w:rPr>
          <w:rFonts w:ascii="Times New Roman" w:hAnsi="Times New Roman"/>
          <w:sz w:val="20"/>
          <w:u w:val="single"/>
        </w:rPr>
        <w:t>Section 7</w:t>
      </w:r>
      <w:r>
        <w:rPr>
          <w:rFonts w:ascii="Times New Roman" w:hAnsi="Times New Roman"/>
          <w:sz w:val="20"/>
        </w:rPr>
        <w:t>, “</w:t>
      </w:r>
      <w:r>
        <w:rPr>
          <w:rFonts w:ascii="Times New Roman" w:hAnsi="Times New Roman"/>
          <w:sz w:val="20"/>
          <w:u w:val="single"/>
        </w:rPr>
        <w:t>Acceptable Person</w:t>
      </w:r>
      <w:r>
        <w:rPr>
          <w:rFonts w:ascii="Times New Roman" w:hAnsi="Times New Roman"/>
          <w:sz w:val="20"/>
        </w:rPr>
        <w:t xml:space="preserve">” means, in respect of a Designated Director, an individual (i) who is independent under applicable listing standards, requirements and rules of the Nasdaq Global Select Market, (ii) whose appointment would not cause the Company to violate applicable law, (iii) whose appointment would not cause the Company to violate any applicable corporate governance guidelines of the Company, so long as such guidelines are applied on an equal basis to all directors of the Board and not in a manner that is intended to have a disproportionate and adverse effect on the Designated Directors relative to other directors of the Board, and (iv) who has not been the subject of any event required to be disclosed pursuant to Items 2(d) or 2(e) of Schedule 13D under the Exchange Act or Item 401(f) of Regulation S-K under the Securities Act involving an act of moral turpitude, and who is not the subject of any order, decree, judgment or other restriction or limitation by or of any governmental entity prohibiting service as a director of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Review of Designated Directors</w:t>
      </w:r>
      <w:r>
        <w:rPr>
          <w:rFonts w:ascii="Times New Roman" w:hAnsi="Times New Roman"/>
          <w:sz w:val="20"/>
        </w:rPr>
        <w:t>. The Nominating and Corporate Governance Committee of the Board (the “</w:t>
      </w:r>
      <w:r>
        <w:rPr>
          <w:rFonts w:ascii="Times New Roman" w:hAnsi="Times New Roman"/>
          <w:sz w:val="20"/>
          <w:u w:val="single"/>
        </w:rPr>
        <w:t>Nominating Committee</w:t>
      </w:r>
      <w:r>
        <w:rPr>
          <w:rFonts w:ascii="Times New Roman" w:hAnsi="Times New Roman"/>
          <w:sz w:val="20"/>
        </w:rPr>
        <w:t xml:space="preserve">”) shall be entitled to determine, acting reasonably and in good faith, whether each individual designated as a Designated Director (or as a replacement therefor) is an Acceptable Person. If the Nominating Committee determines that a designated individual is not an Acceptable Person, the Company shall promptly notify the applicable Designating Holder, and such Designating Holder shall be entitled to designate a different individual who is an Acceptable Person, which individual shall be subject to the same review process set forth in this </w:t>
      </w:r>
      <w:r>
        <w:rPr>
          <w:rFonts w:ascii="Times New Roman" w:hAnsi="Times New Roman"/>
          <w:sz w:val="20"/>
          <w:u w:val="single"/>
        </w:rPr>
        <w:t>Section 7</w:t>
      </w:r>
      <w:r>
        <w:rPr>
          <w:rFonts w:ascii="Times New Roman" w:hAnsi="Times New Roman"/>
          <w:sz w:val="20"/>
        </w:rPr>
        <w:t xml:space="preserve">. No individual shall be appointed or nominated to the Board pursuant to this </w:t>
      </w:r>
      <w:r>
        <w:rPr>
          <w:rFonts w:ascii="Times New Roman" w:hAnsi="Times New Roman"/>
          <w:sz w:val="20"/>
          <w:u w:val="single"/>
        </w:rPr>
        <w:t>Section 7</w:t>
      </w:r>
      <w:r>
        <w:rPr>
          <w:rFonts w:ascii="Times New Roman" w:hAnsi="Times New Roman"/>
          <w:sz w:val="20"/>
        </w:rPr>
        <w:t xml:space="preserve"> unless and until the Nominating Committee has confirmed that such individual is an Acceptable Person (such confirmation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Rule 144 Availability; Public Information</w:t>
      </w:r>
      <w:r>
        <w:rPr>
          <w:rFonts w:ascii="Times New Roman" w:hAnsi="Times New Roman"/>
          <w:sz w:val="20"/>
        </w:rPr>
        <w:t xml:space="preserve">. At all times during the period commencing on the Closing Date and ending at such time that all of the Backstop Acquired Shares can be sold without the requirement to be in compliance with Rule 144(c)(1) under the Securities Act and otherwise without restriction or limitation pursuant to Rule 144 under the Securities Act, the Company shall use its reasonable best efforts to ensure the availability of Rule 144 under the Securities Act to each Backstop Party with regard to the Backstop Acquired Shares, including compliance with Rule 144(c)(1)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Governing Law</w:t>
      </w:r>
      <w:r>
        <w:rPr>
          <w:rFonts w:ascii="Times New Roman" w:hAnsi="Times New Roman"/>
          <w:sz w:val="20"/>
        </w:rPr>
        <w:t xml:space="preserve">. This Agreement and all claims and causes of action hereunder shall be governed by, and construed in accordance with, the laws of the State of New York, regardless of the laws that might otherwise govern under applicable principles of conflicts of laws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Notices</w:t>
      </w:r>
      <w:r>
        <w:rPr>
          <w:rFonts w:ascii="Times New Roman" w:hAnsi="Times New Roman"/>
          <w:sz w:val="20"/>
        </w:rPr>
        <w:t>. All notices, requests, claims, demands and other communications hereunder shall be in writing and shall be deemed given when delivered, if delivered personally, emailed (</w:t>
      </w:r>
      <w:r>
        <w:rPr>
          <w:rFonts w:ascii="Times New Roman" w:hAnsi="Times New Roman"/>
          <w:sz w:val="20"/>
          <w:u w:val="single"/>
        </w:rPr>
        <w:t>provided</w:t>
      </w:r>
      <w:r>
        <w:rPr>
          <w:rFonts w:ascii="Times New Roman" w:hAnsi="Times New Roman"/>
          <w:sz w:val="20"/>
        </w:rPr>
        <w:t xml:space="preserve"> that such email states that it is a notice sent pursuant to this </w:t>
      </w:r>
      <w:r>
        <w:rPr>
          <w:rFonts w:ascii="Times New Roman" w:hAnsi="Times New Roman"/>
          <w:sz w:val="20"/>
          <w:u w:val="single"/>
        </w:rPr>
        <w:t>Section 10</w:t>
      </w:r>
      <w:r>
        <w:rPr>
          <w:rFonts w:ascii="Times New Roman" w:hAnsi="Times New Roman"/>
          <w:sz w:val="20"/>
        </w:rPr>
        <w:t xml:space="preserve">) or sent by overnight courier (providing proof of delivery) to the Parties at the following addresses (or at such other address for a Party as shall be specified by like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KLX Energy Services Holdings, Inc. </w:t>
      </w:r>
    </w:p>
    <w:p>
      <w:pPr>
        <w:pStyle w:val="TextBody"/>
        <w:bidi w:val="0"/>
        <w:spacing w:before="0" w:after="0"/>
        <w:jc w:val="left"/>
        <w:rPr>
          <w:rFonts w:ascii="Times New Roman" w:hAnsi="Times New Roman"/>
          <w:sz w:val="20"/>
        </w:rPr>
      </w:pPr>
      <w:r>
        <w:rPr>
          <w:rFonts w:ascii="Times New Roman" w:hAnsi="Times New Roman"/>
          <w:sz w:val="20"/>
        </w:rPr>
        <w:t xml:space="preserve">3040 Post Oak Blvd, Suite 1500 </w:t>
      </w:r>
    </w:p>
    <w:p>
      <w:pPr>
        <w:pStyle w:val="TextBody"/>
        <w:bidi w:val="0"/>
        <w:spacing w:before="0" w:after="0"/>
        <w:jc w:val="left"/>
        <w:rPr>
          <w:rFonts w:ascii="Times New Roman" w:hAnsi="Times New Roman"/>
          <w:sz w:val="20"/>
        </w:rPr>
      </w:pPr>
      <w:r>
        <w:rPr>
          <w:rFonts w:ascii="Times New Roman" w:hAnsi="Times New Roman"/>
          <w:sz w:val="20"/>
        </w:rPr>
        <w:t xml:space="preserve">Houston, TX 77056 </w:t>
      </w:r>
    </w:p>
    <w:p>
      <w:pPr>
        <w:pStyle w:val="TextBody"/>
        <w:bidi w:val="0"/>
        <w:spacing w:before="0" w:after="0"/>
        <w:jc w:val="left"/>
        <w:rPr>
          <w:rFonts w:ascii="Times New Roman" w:hAnsi="Times New Roman"/>
          <w:sz w:val="20"/>
        </w:rPr>
      </w:pPr>
      <w:r>
        <w:rPr>
          <w:rFonts w:ascii="Times New Roman" w:hAnsi="Times New Roman"/>
          <w:sz w:val="20"/>
        </w:rPr>
        <w:t xml:space="preserve">Attention: Chris Baker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Vinson &amp; Elkins L.L.P. </w:t>
      </w:r>
    </w:p>
    <w:p>
      <w:pPr>
        <w:pStyle w:val="TextBody"/>
        <w:bidi w:val="0"/>
        <w:spacing w:before="0" w:after="0"/>
        <w:jc w:val="left"/>
        <w:rPr>
          <w:rFonts w:ascii="Times New Roman" w:hAnsi="Times New Roman"/>
          <w:sz w:val="20"/>
        </w:rPr>
      </w:pPr>
      <w:r>
        <w:rPr>
          <w:rFonts w:ascii="Times New Roman" w:hAnsi="Times New Roman"/>
          <w:sz w:val="20"/>
        </w:rPr>
        <w:t xml:space="preserve">First Avenue Plaza </w:t>
      </w:r>
    </w:p>
    <w:p>
      <w:pPr>
        <w:pStyle w:val="TextBody"/>
        <w:bidi w:val="0"/>
        <w:spacing w:before="0" w:after="0"/>
        <w:jc w:val="left"/>
        <w:rPr>
          <w:rFonts w:ascii="Times New Roman" w:hAnsi="Times New Roman"/>
          <w:sz w:val="20"/>
        </w:rPr>
      </w:pPr>
      <w:r>
        <w:rPr>
          <w:rFonts w:ascii="Times New Roman" w:hAnsi="Times New Roman"/>
          <w:sz w:val="20"/>
        </w:rPr>
        <w:t xml:space="preserve">44 Cook Street </w:t>
      </w:r>
    </w:p>
    <w:p>
      <w:pPr>
        <w:pStyle w:val="TextBody"/>
        <w:bidi w:val="0"/>
        <w:spacing w:before="0" w:after="0"/>
        <w:jc w:val="left"/>
        <w:rPr>
          <w:rFonts w:ascii="Times New Roman" w:hAnsi="Times New Roman"/>
          <w:sz w:val="20"/>
        </w:rPr>
      </w:pPr>
      <w:r>
        <w:rPr>
          <w:rFonts w:ascii="Times New Roman" w:hAnsi="Times New Roman"/>
          <w:sz w:val="20"/>
        </w:rPr>
        <w:t xml:space="preserve">Suite 320 </w:t>
      </w:r>
    </w:p>
    <w:p>
      <w:pPr>
        <w:pStyle w:val="TextBody"/>
        <w:bidi w:val="0"/>
        <w:spacing w:before="0" w:after="0"/>
        <w:jc w:val="left"/>
        <w:rPr>
          <w:rFonts w:ascii="Times New Roman" w:hAnsi="Times New Roman"/>
          <w:sz w:val="20"/>
        </w:rPr>
      </w:pPr>
      <w:r>
        <w:rPr>
          <w:rFonts w:ascii="Times New Roman" w:hAnsi="Times New Roman"/>
          <w:sz w:val="20"/>
        </w:rPr>
        <w:t xml:space="preserve">Denver, CO 80206 </w:t>
      </w:r>
    </w:p>
    <w:p>
      <w:pPr>
        <w:pStyle w:val="TextBody"/>
        <w:bidi w:val="0"/>
        <w:spacing w:before="0" w:after="0"/>
        <w:jc w:val="left"/>
        <w:rPr>
          <w:rFonts w:ascii="Times New Roman" w:hAnsi="Times New Roman"/>
          <w:sz w:val="20"/>
        </w:rPr>
      </w:pPr>
      <w:r>
        <w:rPr>
          <w:rFonts w:ascii="Times New Roman" w:hAnsi="Times New Roman"/>
          <w:sz w:val="20"/>
        </w:rPr>
        <w:t xml:space="preserve">Attention: Sarah K. Morgan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Vinson &amp; Elkins L.L.P. </w:t>
      </w:r>
    </w:p>
    <w:p>
      <w:pPr>
        <w:pStyle w:val="TextBody"/>
        <w:bidi w:val="0"/>
        <w:spacing w:before="0" w:after="0"/>
        <w:jc w:val="left"/>
        <w:rPr>
          <w:rFonts w:ascii="Times New Roman" w:hAnsi="Times New Roman"/>
          <w:sz w:val="20"/>
        </w:rPr>
      </w:pPr>
      <w:r>
        <w:rPr>
          <w:rFonts w:ascii="Times New Roman" w:hAnsi="Times New Roman"/>
          <w:sz w:val="20"/>
        </w:rPr>
        <w:t xml:space="preserve">2001 Ross Avenue </w:t>
      </w:r>
    </w:p>
    <w:p>
      <w:pPr>
        <w:pStyle w:val="TextBody"/>
        <w:bidi w:val="0"/>
        <w:spacing w:before="0" w:after="0"/>
        <w:jc w:val="left"/>
        <w:rPr>
          <w:rFonts w:ascii="Times New Roman" w:hAnsi="Times New Roman"/>
          <w:sz w:val="20"/>
        </w:rPr>
      </w:pPr>
      <w:r>
        <w:rPr>
          <w:rFonts w:ascii="Times New Roman" w:hAnsi="Times New Roman"/>
          <w:sz w:val="20"/>
        </w:rPr>
        <w:t xml:space="preserve">Suite 3900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75201 </w:t>
      </w:r>
    </w:p>
    <w:p>
      <w:pPr>
        <w:pStyle w:val="TextBody"/>
        <w:bidi w:val="0"/>
        <w:spacing w:before="0" w:after="0"/>
        <w:jc w:val="left"/>
        <w:rPr>
          <w:rFonts w:ascii="Times New Roman" w:hAnsi="Times New Roman"/>
          <w:sz w:val="20"/>
        </w:rPr>
      </w:pPr>
      <w:r>
        <w:rPr>
          <w:rFonts w:ascii="Times New Roman" w:hAnsi="Times New Roman"/>
          <w:sz w:val="20"/>
        </w:rPr>
        <w:t xml:space="preserve">Attention: Katherine Terrell Frank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(ii) If to any Backstop Party, to the address set forth next to such Backstop Party’s name on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Specific Performance; Exclusive Jurisdiction; Waiver of Right to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courts of the State of New York sitting in the Borough of Manhattan in the City of New York or, if under applicable law exclusive jurisdiction over such matter is vested in the federal courts, any federal court located in the State of New York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each of the Parties (i) consents to submit itself, and hereby submits itself, to the personal jurisdiction of the courts of the State of New York sitting in the Borough of Manhattan in the City of New York and any federal court located in the State of New York, or, if neither of such courts has subject matter jurisdiction, any state court of the State of New York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hereby in any court other than the courts of the State of New York sitting in the Borough of Manhattan in the City of New York and any federal court located in the State of New York, or, if neither of such courts has subject matter jurisdiction, any state court of the State of New York having subject matter jurisdiction, and (iv) consents to service of process being made through the notice procedures set forth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UNDER APPLICABLE LAW, THE PARTIES HEREBY KNOWINGLY, VOLUNTARILY AND INTENTIONALLY WAIVE ANY RIGHT THAT THEY MAY HAVE TO A TRIAL BY JURY IN ANY LITIGATION ARISING IN ANY WAY IN CONNECTION WITH THIS AGREEMENT, THE BACKSTOP EXCHANGE, OR ANY OTHER STATEMENTS OR ACTIONS OF THE COMPANY OR THE BACKSTOP PARTIES. THE PARTIES ACKNOWLEDGE THAT THEY HAVE BEEN REPRESENTED IN THE SIGNING OF THIS AGREEMENT AND IN THE MAKING OF THIS WAIVER BY INDEPENDENT LEGAL COUNSEL SELECTED OF THEIR OWN FREE WILL. THE PARTIES FURTHER ACKNOWLEDGE THAT (A) THEY HAVE READ AND UNDERSTAND THE MEANING AND RAMIFICATIONS OF THIS WAIVER, AND (B) THIS WAIVER HAS BEEN REVIEWED BY THE PARTIES AND THEIR COUNSEL AND IS A MATERIAL INDUCEMENT FOR ENTRY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Amendment; Waiver; Counterparts</w:t>
      </w:r>
      <w:r>
        <w:rPr>
          <w:rFonts w:ascii="Times New Roman" w:hAnsi="Times New Roman"/>
          <w:sz w:val="20"/>
        </w:rPr>
        <w:t xml:space="preserve">. This Agreement may not be modified, amended or supplemented, except by written instrument executed by the Parties. Any of the terms or provisions hereof may be waived in writing at any time by the Party that is entitled to the benefits of such waived terms or provisions.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Entire Agreement; No Third-Party Beneficiaries</w:t>
      </w:r>
      <w:r>
        <w:rPr>
          <w:rFonts w:ascii="Times New Roman" w:hAnsi="Times New Roman"/>
          <w:sz w:val="20"/>
        </w:rPr>
        <w:t xml:space="preserve">. This Agreement and the other Transaction Documents constitutes the entire agreement, and supersedes all prior agreements and understandings, both written and oral, between the Parties with respect to the subject matter hereof and is not intended to confer upon any person other than the Parties any rights or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Optional Redemption with Rights Offering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after the Closing until 60 (sixty) days following the Closing, the Company shall have the right, but not the obligation, to redeem the 2030 Notes in an aggregate principal amount of up to the Excess Proceeds Reduction, at any time and from time to time, at a redemption price equal to 100% of the principal amount of the 2030 Notes to be redeemed on the redemption date, plus accrued and unpaid interest thereon to, but excluding, such date. Any such redemption shall otherwise be made in accordance with Article III of the A&amp;R Indenture, except as otherwise provided in this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furtherance of the foregoing, each Backstop Party, in its capacity as a Holder of 2030 Notes, hereby (i) consents to any such redemption on the terms set forth in this </w:t>
      </w:r>
      <w:r>
        <w:rPr>
          <w:rFonts w:ascii="Times New Roman" w:hAnsi="Times New Roman"/>
          <w:sz w:val="20"/>
          <w:u w:val="single"/>
        </w:rPr>
        <w:t>Section 14</w:t>
      </w:r>
      <w:r>
        <w:rPr>
          <w:rFonts w:ascii="Times New Roman" w:hAnsi="Times New Roman"/>
          <w:sz w:val="20"/>
        </w:rPr>
        <w:t xml:space="preserve">; (ii) irrevocably waives, solely with respect to such redemption, payment of (A) the Make-Whole Amount otherwise payable under Section 3.07(a) of the A&amp;R Indenture, (B) the Call Premium otherwise payable under Section 3.07(b) of the A&amp;R Indenture, and (C) any other premium or additional amount that would otherwise be payable under the A&amp;R Indenture in connection with such redemption; (iii) acknowledges and agrees that (A) the distribution of Common Stock by the Company in connection with the Rights Offering shall not constitute an “Asset Sale” under the A&amp;R Indenture, (B) the cash proceeds received by the Company from subscriptions in the Rights Offering shall not constitute “Net Cash Proceeds” under the A&amp;R Indenture or be included in the calculation of “Excess Cash Flow” under the A&amp;R Indenture, and (C) the Company shall not be required to make any Net Cash Proceeds Offer with respect to such proceeds; and (iv) (A) waives any Default or Event of Default that would arise solely as a result of a redemption made pursuant to this </w:t>
      </w:r>
      <w:r>
        <w:rPr>
          <w:rFonts w:ascii="Times New Roman" w:hAnsi="Times New Roman"/>
          <w:sz w:val="20"/>
          <w:u w:val="single"/>
        </w:rPr>
        <w:t>Section 14</w:t>
      </w:r>
      <w:r>
        <w:rPr>
          <w:rFonts w:ascii="Times New Roman" w:hAnsi="Times New Roman"/>
          <w:sz w:val="20"/>
        </w:rPr>
        <w:t xml:space="preserve"> and (B) consents, for purposes of Section 12.02 of the A&amp;R Indenture, to any waiver or departure from the A&amp;R Indenture necessary or desirable to effectuate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Counterparts</w:t>
      </w:r>
      <w:r>
        <w:rPr>
          <w:rFonts w:ascii="Times New Roman" w:hAnsi="Times New Roman"/>
          <w:sz w:val="20"/>
        </w:rPr>
        <w:t xml:space="preserve">. This Agreement may be executed in counterparts, all of which shall be considered one and the same agreement and shall become effective when one or more counterparts have been signed by each of the Parties and delivered to each other Party. Delivery of an executed counterpart of a signature page to this Agreement by “.pdf” format, scanned pages or electronic signature shall be effective as delivery of a manually executed counterpart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of the Parties without the prior written consent of each other Party, except that each Backstop Party may, upon prior written consent of the Company (not to be unreasonably withheld, conditioned or delayed), assign, any or all of its rights, interests and obligations under this Agreement to any Controlled Affiliate (as defined in </w:t>
      </w:r>
      <w:r>
        <w:rPr>
          <w:rFonts w:ascii="Times New Roman" w:hAnsi="Times New Roman"/>
          <w:sz w:val="20"/>
          <w:u w:val="single"/>
        </w:rPr>
        <w:t>Section 7</w:t>
      </w:r>
      <w:r>
        <w:rPr>
          <w:rFonts w:ascii="Times New Roman" w:hAnsi="Times New Roman"/>
          <w:sz w:val="20"/>
        </w:rPr>
        <w:t xml:space="preserve">) of such Backstop Party,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long as such Backstop Party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 For the avoidance of doubt, this </w:t>
      </w:r>
      <w:r>
        <w:rPr>
          <w:rFonts w:ascii="Times New Roman" w:hAnsi="Times New Roman"/>
          <w:sz w:val="20"/>
          <w:u w:val="single"/>
        </w:rPr>
        <w:t>Section 17</w:t>
      </w:r>
      <w:r>
        <w:rPr>
          <w:rFonts w:ascii="Times New Roman" w:hAnsi="Times New Roman"/>
          <w:sz w:val="20"/>
        </w:rPr>
        <w:t xml:space="preserve"> shall not apply to any Transfer effected in accordance with </w:t>
      </w:r>
      <w:r>
        <w:rPr>
          <w:rFonts w:ascii="Times New Roman" w:hAnsi="Times New Roman"/>
          <w:sz w:val="20"/>
          <w:u w:val="single"/>
        </w:rPr>
        <w:t>Section 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Nonsurvival of Representations and Warranties</w:t>
      </w:r>
      <w:r>
        <w:rPr>
          <w:rFonts w:ascii="Times New Roman" w:hAnsi="Times New Roman"/>
          <w:sz w:val="20"/>
        </w:rPr>
        <w:t xml:space="preserve">. None of the representations, warranties, covenants and other agreements in this Agreement or in any instrument delivered pursuant to this Agreement, shall survive the Closing;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however, that this </w:t>
      </w:r>
      <w:r>
        <w:rPr>
          <w:rFonts w:ascii="Times New Roman" w:hAnsi="Times New Roman"/>
          <w:sz w:val="20"/>
          <w:u w:val="single"/>
        </w:rPr>
        <w:t>Section 18</w:t>
      </w:r>
      <w:r>
        <w:rPr>
          <w:rFonts w:ascii="Times New Roman" w:hAnsi="Times New Roman"/>
          <w:sz w:val="20"/>
        </w:rPr>
        <w:t xml:space="preserve"> shall not limit any covenant or agreement of the Parties which by its terms contemplates performance at or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Definitions</w:t>
      </w:r>
      <w:r>
        <w:rPr>
          <w:rFonts w:ascii="Times New Roman" w:hAnsi="Times New Roman"/>
          <w:sz w:val="20"/>
        </w:rPr>
        <w:t xml:space="preserve">. As used in this Agreement, the following terms have the meanings set forth below: </w:t>
      </w:r>
    </w:p>
    <w:p>
      <w:pPr>
        <w:pStyle w:val="TextBody"/>
        <w:bidi w:val="0"/>
        <w:spacing w:before="240" w:after="0"/>
        <w:jc w:val="left"/>
        <w:rPr/>
      </w:pPr>
      <w:r>
        <w:rPr/>
        <w:t>“</w:t>
      </w:r>
      <w:r>
        <w:rPr>
          <w:rFonts w:ascii="Times New Roman" w:hAnsi="Times New Roman"/>
          <w:sz w:val="20"/>
          <w:u w:val="single"/>
        </w:rPr>
        <w:t>Controlled Affiliate</w:t>
      </w:r>
      <w:r>
        <w:rPr>
          <w:rFonts w:ascii="Times New Roman" w:hAnsi="Times New Roman"/>
          <w:sz w:val="20"/>
        </w:rPr>
        <w:t xml:space="preserve">” means, with respect to any person, any other person that directly or indirectly controls, is controlled by, or is under common control with, such person, but shall not include any portfolio company of such person or any of such person’s affiliates.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xml:space="preserve">” (including its correlative meanings “controlled by” and “under common control with”), for purposes of the Controlled Affiliate definition,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sz w:val="20"/>
          <w:u w:val="single"/>
        </w:rPr>
        <w:t>Qualified Marketmaker</w:t>
      </w:r>
      <w:r>
        <w:rPr>
          <w:rFonts w:ascii="Times New Roman" w:hAnsi="Times New Roman"/>
          <w:sz w:val="20"/>
        </w:rPr>
        <w:t xml:space="preserve">” means an entity that (a) holds itself out to the public or the applicable private markets as standing ready in the ordinary course of business to purchase from customers and sell to customers 2030 Notes, in its capacity as a dealer or market maker in 2030 Notes and (b) is, in fact, regularly in the business of making a market in claims against issuers or borrowers (including debt securities or other debt). </w:t>
      </w:r>
    </w:p>
    <w:p>
      <w:pPr>
        <w:pStyle w:val="TextBody"/>
        <w:bidi w:val="0"/>
        <w:spacing w:before="240" w:after="0"/>
        <w:jc w:val="left"/>
        <w:rPr/>
      </w:pPr>
      <w:r>
        <w:rPr/>
        <w:t>“</w:t>
      </w:r>
      <w:r>
        <w:rPr>
          <w:rFonts w:ascii="Times New Roman" w:hAnsi="Times New Roman"/>
          <w:sz w:val="20"/>
          <w:u w:val="single"/>
        </w:rPr>
        <w:t>Registration Rights Agreement</w:t>
      </w:r>
      <w:r>
        <w:rPr>
          <w:rFonts w:ascii="Times New Roman" w:hAnsi="Times New Roman"/>
          <w:sz w:val="20"/>
        </w:rPr>
        <w:t xml:space="preserve">” means the registration rights agreement to be entered into as of the Closing by and among the Company and the Backstop Parties substantially in the form attached hereto as </w:t>
      </w:r>
      <w:r>
        <w:rPr>
          <w:rFonts w:ascii="Times New Roman" w:hAnsi="Times New Roman"/>
          <w:sz w:val="20"/>
          <w:u w:val="single"/>
        </w:rPr>
        <w:t>Exhibit 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Related Fund</w:t>
      </w:r>
      <w:r>
        <w:rPr>
          <w:rFonts w:ascii="Times New Roman" w:hAnsi="Times New Roman"/>
          <w:sz w:val="20"/>
        </w:rPr>
        <w:t xml:space="preserve">” means, with respect to any Backstop Party or a Support Party, any fund, account, client, entity or investment vehicle that is managed, advised or sub-advised by the same investment manager, investment adviser or sub-adviser as such Backstop Party or by an Affiliate of such investment manager, investment adviser or sub-adviser.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Registration Rights Agreement, and the A&amp;R Indenture.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duly executed and delivered this Agreement, all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6"/>
        <w:gridCol w:w="60"/>
        <w:gridCol w:w="3376"/>
      </w:tblGrid>
      <w:tr>
        <w:trPr/>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KLX ENERGY SERVICES HOLDINGS, INC.</w:t>
            </w:r>
          </w:p>
        </w:tc>
      </w:tr>
      <w:tr>
        <w:trPr>
          <w:trHeight w:val="240" w:hRule="atLeast"/>
        </w:trPr>
        <w:tc>
          <w:tcPr>
            <w:tcW w:w="646" w:type="dxa"/>
            <w:tcBorders/>
            <w:vAlign w:val="center"/>
          </w:tcPr>
          <w:p>
            <w:pPr>
              <w:pStyle w:val="TableContents"/>
              <w:bidi w:val="0"/>
              <w:spacing w:before="0" w:after="283"/>
              <w:jc w:val="left"/>
              <w:rPr>
                <w:sz w:val="4"/>
                <w:szCs w:val="4"/>
              </w:rPr>
            </w:pPr>
            <w:r>
              <w:rPr>
                <w:sz w:val="4"/>
                <w:szCs w:val="4"/>
              </w:rPr>
            </w:r>
          </w:p>
        </w:tc>
        <w:tc>
          <w:tcPr>
            <w:tcW w:w="3436" w:type="dxa"/>
            <w:gridSpan w:val="2"/>
            <w:tcBorders/>
            <w:vAlign w:val="center"/>
          </w:tcPr>
          <w:p>
            <w:pPr>
              <w:pStyle w:val="TableContents"/>
              <w:bidi w:val="0"/>
              <w:spacing w:before="0" w:after="283"/>
              <w:jc w:val="left"/>
              <w:rPr>
                <w:sz w:val="4"/>
                <w:szCs w:val="4"/>
              </w:rPr>
            </w:pPr>
            <w:r>
              <w:rPr>
                <w:sz w:val="4"/>
                <w:szCs w:val="4"/>
              </w:rPr>
            </w:r>
          </w:p>
        </w:tc>
      </w:tr>
      <w:tr>
        <w:trPr/>
        <w:tc>
          <w:tcPr>
            <w:tcW w:w="64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Max Bouthillette</w:t>
            </w:r>
          </w:p>
        </w:tc>
      </w:tr>
      <w:tr>
        <w:trPr/>
        <w:tc>
          <w:tcPr>
            <w:tcW w:w="64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6" w:type="dxa"/>
            <w:tcBorders/>
          </w:tcPr>
          <w:p>
            <w:pPr>
              <w:pStyle w:val="TableContents"/>
              <w:bidi w:val="0"/>
              <w:spacing w:before="0" w:after="283"/>
              <w:jc w:val="left"/>
              <w:rPr/>
            </w:pPr>
            <w:r>
              <w:rPr/>
              <w:t>Max Bouthillette</w:t>
            </w:r>
          </w:p>
        </w:tc>
      </w:tr>
      <w:tr>
        <w:trPr/>
        <w:tc>
          <w:tcPr>
            <w:tcW w:w="64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6" w:type="dxa"/>
            <w:tcBorders/>
          </w:tcPr>
          <w:p>
            <w:pPr>
              <w:pStyle w:val="TableContents"/>
              <w:bidi w:val="0"/>
              <w:spacing w:before="0" w:after="283"/>
              <w:jc w:val="left"/>
              <w:rPr/>
            </w:pPr>
            <w:r>
              <w:rPr/>
              <w:t>Vice President &amp;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395"/>
        <w:gridCol w:w="135"/>
        <w:gridCol w:w="2552"/>
      </w:tblGrid>
      <w:tr>
        <w:trPr/>
        <w:tc>
          <w:tcPr>
            <w:tcW w:w="139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CROSS OCEAN PARTNERS MANAGEMENT LP, on behalf of certain of its respective advised funds</w:t>
            </w:r>
          </w:p>
        </w:tc>
      </w:tr>
      <w:tr>
        <w:trPr>
          <w:trHeight w:val="240" w:hRule="atLeast"/>
        </w:trPr>
        <w:tc>
          <w:tcPr>
            <w:tcW w:w="1395" w:type="dxa"/>
            <w:tcBorders/>
            <w:vAlign w:val="center"/>
          </w:tcPr>
          <w:p>
            <w:pPr>
              <w:pStyle w:val="TableContents"/>
              <w:bidi w:val="0"/>
              <w:spacing w:before="0" w:after="283"/>
              <w:jc w:val="left"/>
              <w:rPr>
                <w:sz w:val="4"/>
                <w:szCs w:val="4"/>
              </w:rPr>
            </w:pPr>
            <w:r>
              <w:rPr>
                <w:sz w:val="4"/>
                <w:szCs w:val="4"/>
              </w:rPr>
            </w:r>
          </w:p>
        </w:tc>
        <w:tc>
          <w:tcPr>
            <w:tcW w:w="2687" w:type="dxa"/>
            <w:gridSpan w:val="2"/>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283"/>
              <w:jc w:val="left"/>
              <w:rPr/>
            </w:pPr>
            <w:r>
              <w:rPr/>
              <w:t>By:</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1395" w:type="dxa"/>
            <w:tcBorders/>
          </w:tcPr>
          <w:p>
            <w:pPr>
              <w:pStyle w:val="TableContents"/>
              <w:bidi w:val="0"/>
              <w:spacing w:before="0" w:after="283"/>
              <w:jc w:val="left"/>
              <w:rPr/>
            </w:pPr>
            <w:r>
              <w:rPr/>
              <w:t>Name:</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w:t>
            </w:r>
          </w:p>
        </w:tc>
      </w:tr>
      <w:tr>
        <w:trPr/>
        <w:tc>
          <w:tcPr>
            <w:tcW w:w="1395" w:type="dxa"/>
            <w:tcBorders/>
          </w:tcPr>
          <w:p>
            <w:pPr>
              <w:pStyle w:val="TableContents"/>
              <w:bidi w:val="0"/>
              <w:spacing w:before="0" w:after="283"/>
              <w:jc w:val="left"/>
              <w:rPr/>
            </w:pPr>
            <w:r>
              <w:rPr/>
              <w:t>Title:</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060"/>
        <w:gridCol w:w="100"/>
        <w:gridCol w:w="2922"/>
      </w:tblGrid>
      <w:tr>
        <w:trPr/>
        <w:tc>
          <w:tcPr>
            <w:tcW w:w="106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WHITEBOX ADVISORS LLC, on behalf of certain of its respective advised funds</w:t>
            </w:r>
          </w:p>
        </w:tc>
      </w:tr>
      <w:tr>
        <w:trPr>
          <w:trHeight w:val="240" w:hRule="atLeast"/>
        </w:trPr>
        <w:tc>
          <w:tcPr>
            <w:tcW w:w="1060" w:type="dxa"/>
            <w:tcBorders/>
            <w:vAlign w:val="center"/>
          </w:tcPr>
          <w:p>
            <w:pPr>
              <w:pStyle w:val="TableContents"/>
              <w:bidi w:val="0"/>
              <w:spacing w:before="0" w:after="283"/>
              <w:jc w:val="left"/>
              <w:rPr>
                <w:sz w:val="4"/>
                <w:szCs w:val="4"/>
              </w:rPr>
            </w:pPr>
            <w:r>
              <w:rPr>
                <w:sz w:val="4"/>
                <w:szCs w:val="4"/>
              </w:rPr>
            </w:r>
          </w:p>
        </w:tc>
        <w:tc>
          <w:tcPr>
            <w:tcW w:w="3022"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tcPr>
          <w:p>
            <w:pPr>
              <w:pStyle w:val="TableContents"/>
              <w:bidi w:val="0"/>
              <w:spacing w:before="0" w:after="283"/>
              <w:jc w:val="left"/>
              <w:rPr/>
            </w:pPr>
            <w:r>
              <w:rPr/>
              <w:t>By:</w:t>
            </w:r>
          </w:p>
        </w:tc>
        <w:tc>
          <w:tcPr>
            <w:tcW w:w="100" w:type="dxa"/>
            <w:tcBorders/>
            <w:vAlign w:val="bottom"/>
          </w:tcPr>
          <w:p>
            <w:pPr>
              <w:pStyle w:val="TableContents"/>
              <w:bidi w:val="0"/>
              <w:spacing w:before="0" w:after="283"/>
              <w:jc w:val="left"/>
              <w:rPr/>
            </w:pPr>
            <w:r>
              <w:rPr/>
              <w:t> </w:t>
            </w:r>
          </w:p>
        </w:tc>
        <w:tc>
          <w:tcPr>
            <w:tcW w:w="29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1060" w:type="dxa"/>
            <w:tcBorders/>
          </w:tcPr>
          <w:p>
            <w:pPr>
              <w:pStyle w:val="TableContents"/>
              <w:bidi w:val="0"/>
              <w:spacing w:before="0" w:after="283"/>
              <w:jc w:val="left"/>
              <w:rPr/>
            </w:pPr>
            <w:r>
              <w:rPr/>
              <w:t>Name:</w:t>
            </w:r>
          </w:p>
        </w:tc>
        <w:tc>
          <w:tcPr>
            <w:tcW w:w="100" w:type="dxa"/>
            <w:tcBorders/>
            <w:vAlign w:val="bottom"/>
          </w:tcPr>
          <w:p>
            <w:pPr>
              <w:pStyle w:val="TableContents"/>
              <w:bidi w:val="0"/>
              <w:spacing w:before="0" w:after="283"/>
              <w:jc w:val="left"/>
              <w:rPr/>
            </w:pPr>
            <w:r>
              <w:rPr/>
              <w:t> </w:t>
            </w:r>
          </w:p>
        </w:tc>
        <w:tc>
          <w:tcPr>
            <w:tcW w:w="2922" w:type="dxa"/>
            <w:tcBorders/>
          </w:tcPr>
          <w:p>
            <w:pPr>
              <w:pStyle w:val="TableContents"/>
              <w:bidi w:val="0"/>
              <w:spacing w:before="0" w:after="283"/>
              <w:jc w:val="left"/>
              <w:rPr/>
            </w:pPr>
            <w:r>
              <w:rPr/>
              <w:t>[*]</w:t>
            </w:r>
          </w:p>
        </w:tc>
      </w:tr>
      <w:tr>
        <w:trPr/>
        <w:tc>
          <w:tcPr>
            <w:tcW w:w="1060" w:type="dxa"/>
            <w:tcBorders/>
          </w:tcPr>
          <w:p>
            <w:pPr>
              <w:pStyle w:val="TableContents"/>
              <w:bidi w:val="0"/>
              <w:spacing w:before="0" w:after="283"/>
              <w:jc w:val="left"/>
              <w:rPr/>
            </w:pPr>
            <w:r>
              <w:rPr/>
              <w:t>Title:</w:t>
            </w:r>
          </w:p>
        </w:tc>
        <w:tc>
          <w:tcPr>
            <w:tcW w:w="100" w:type="dxa"/>
            <w:tcBorders/>
            <w:vAlign w:val="bottom"/>
          </w:tcPr>
          <w:p>
            <w:pPr>
              <w:pStyle w:val="TableContents"/>
              <w:bidi w:val="0"/>
              <w:spacing w:before="0" w:after="283"/>
              <w:jc w:val="left"/>
              <w:rPr/>
            </w:pPr>
            <w:r>
              <w:rPr/>
              <w:t> </w:t>
            </w:r>
          </w:p>
        </w:tc>
        <w:tc>
          <w:tcPr>
            <w:tcW w:w="2922"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395"/>
        <w:gridCol w:w="135"/>
        <w:gridCol w:w="2552"/>
      </w:tblGrid>
      <w:tr>
        <w:trPr/>
        <w:tc>
          <w:tcPr>
            <w:tcW w:w="139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AMZAK CAPITAL MANAGEMENT LLC</w:t>
            </w:r>
          </w:p>
        </w:tc>
      </w:tr>
      <w:tr>
        <w:trPr>
          <w:trHeight w:val="240" w:hRule="atLeast"/>
        </w:trPr>
        <w:tc>
          <w:tcPr>
            <w:tcW w:w="1395" w:type="dxa"/>
            <w:tcBorders/>
            <w:vAlign w:val="center"/>
          </w:tcPr>
          <w:p>
            <w:pPr>
              <w:pStyle w:val="TableContents"/>
              <w:bidi w:val="0"/>
              <w:spacing w:before="0" w:after="283"/>
              <w:jc w:val="left"/>
              <w:rPr>
                <w:sz w:val="4"/>
                <w:szCs w:val="4"/>
              </w:rPr>
            </w:pPr>
            <w:r>
              <w:rPr>
                <w:sz w:val="4"/>
                <w:szCs w:val="4"/>
              </w:rPr>
            </w:r>
          </w:p>
        </w:tc>
        <w:tc>
          <w:tcPr>
            <w:tcW w:w="2687" w:type="dxa"/>
            <w:gridSpan w:val="2"/>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283"/>
              <w:jc w:val="left"/>
              <w:rPr/>
            </w:pPr>
            <w:r>
              <w:rPr/>
              <w:t>By:</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1395" w:type="dxa"/>
            <w:tcBorders/>
          </w:tcPr>
          <w:p>
            <w:pPr>
              <w:pStyle w:val="TableContents"/>
              <w:bidi w:val="0"/>
              <w:spacing w:before="0" w:after="283"/>
              <w:jc w:val="left"/>
              <w:rPr/>
            </w:pPr>
            <w:r>
              <w:rPr/>
              <w:t>Name:</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w:t>
            </w:r>
          </w:p>
        </w:tc>
      </w:tr>
      <w:tr>
        <w:trPr/>
        <w:tc>
          <w:tcPr>
            <w:tcW w:w="1395" w:type="dxa"/>
            <w:tcBorders/>
          </w:tcPr>
          <w:p>
            <w:pPr>
              <w:pStyle w:val="TableContents"/>
              <w:bidi w:val="0"/>
              <w:spacing w:before="0" w:after="283"/>
              <w:jc w:val="left"/>
              <w:rPr/>
            </w:pPr>
            <w:r>
              <w:rPr/>
              <w:t>Title:</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395"/>
        <w:gridCol w:w="135"/>
        <w:gridCol w:w="2552"/>
      </w:tblGrid>
      <w:tr>
        <w:trPr/>
        <w:tc>
          <w:tcPr>
            <w:tcW w:w="139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DEANS KNIGHT CAPITAL MANAGEMENT LTD</w:t>
            </w:r>
          </w:p>
        </w:tc>
      </w:tr>
      <w:tr>
        <w:trPr>
          <w:trHeight w:val="240" w:hRule="atLeast"/>
        </w:trPr>
        <w:tc>
          <w:tcPr>
            <w:tcW w:w="1395" w:type="dxa"/>
            <w:tcBorders/>
            <w:vAlign w:val="center"/>
          </w:tcPr>
          <w:p>
            <w:pPr>
              <w:pStyle w:val="TableContents"/>
              <w:bidi w:val="0"/>
              <w:spacing w:before="0" w:after="283"/>
              <w:jc w:val="left"/>
              <w:rPr>
                <w:sz w:val="4"/>
                <w:szCs w:val="4"/>
              </w:rPr>
            </w:pPr>
            <w:r>
              <w:rPr>
                <w:sz w:val="4"/>
                <w:szCs w:val="4"/>
              </w:rPr>
            </w:r>
          </w:p>
        </w:tc>
        <w:tc>
          <w:tcPr>
            <w:tcW w:w="2687" w:type="dxa"/>
            <w:gridSpan w:val="2"/>
            <w:tcBorders/>
            <w:vAlign w:val="center"/>
          </w:tcPr>
          <w:p>
            <w:pPr>
              <w:pStyle w:val="TableContents"/>
              <w:bidi w:val="0"/>
              <w:spacing w:before="0" w:after="283"/>
              <w:jc w:val="left"/>
              <w:rPr>
                <w:sz w:val="4"/>
                <w:szCs w:val="4"/>
              </w:rPr>
            </w:pPr>
            <w:r>
              <w:rPr>
                <w:sz w:val="4"/>
                <w:szCs w:val="4"/>
              </w:rPr>
            </w:r>
          </w:p>
        </w:tc>
      </w:tr>
      <w:tr>
        <w:trPr/>
        <w:tc>
          <w:tcPr>
            <w:tcW w:w="1395" w:type="dxa"/>
            <w:tcBorders/>
          </w:tcPr>
          <w:p>
            <w:pPr>
              <w:pStyle w:val="TableContents"/>
              <w:bidi w:val="0"/>
              <w:spacing w:before="0" w:after="283"/>
              <w:jc w:val="left"/>
              <w:rPr/>
            </w:pPr>
            <w:r>
              <w:rPr/>
              <w:t>By:</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1395" w:type="dxa"/>
            <w:tcBorders/>
          </w:tcPr>
          <w:p>
            <w:pPr>
              <w:pStyle w:val="TableContents"/>
              <w:bidi w:val="0"/>
              <w:spacing w:before="0" w:after="283"/>
              <w:jc w:val="left"/>
              <w:rPr/>
            </w:pPr>
            <w:r>
              <w:rPr/>
              <w:t>Name:</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w:t>
            </w:r>
          </w:p>
        </w:tc>
      </w:tr>
      <w:tr>
        <w:trPr/>
        <w:tc>
          <w:tcPr>
            <w:tcW w:w="1395" w:type="dxa"/>
            <w:tcBorders/>
          </w:tcPr>
          <w:p>
            <w:pPr>
              <w:pStyle w:val="TableContents"/>
              <w:bidi w:val="0"/>
              <w:spacing w:before="0" w:after="283"/>
              <w:jc w:val="left"/>
              <w:rPr/>
            </w:pPr>
            <w:r>
              <w:rPr/>
              <w:t>Title:</w:t>
            </w:r>
          </w:p>
        </w:tc>
        <w:tc>
          <w:tcPr>
            <w:tcW w:w="135"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482"/>
        <w:gridCol w:w="145"/>
        <w:gridCol w:w="2455"/>
      </w:tblGrid>
      <w:tr>
        <w:trPr/>
        <w:tc>
          <w:tcPr>
            <w:tcW w:w="1482"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METEORA SELECT TRADING OPPORTUNITIES MASTER, LP</w:t>
            </w:r>
          </w:p>
        </w:tc>
      </w:tr>
      <w:tr>
        <w:trPr>
          <w:trHeight w:val="240" w:hRule="atLeast"/>
        </w:trPr>
        <w:tc>
          <w:tcPr>
            <w:tcW w:w="1482" w:type="dxa"/>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1482" w:type="dxa"/>
            <w:tcBorders/>
          </w:tcPr>
          <w:p>
            <w:pPr>
              <w:pStyle w:val="TableContents"/>
              <w:bidi w:val="0"/>
              <w:spacing w:before="0" w:after="283"/>
              <w:jc w:val="left"/>
              <w:rPr/>
            </w:pPr>
            <w:r>
              <w:rPr/>
              <w:t>By:</w:t>
            </w:r>
          </w:p>
        </w:tc>
        <w:tc>
          <w:tcPr>
            <w:tcW w:w="145" w:type="dxa"/>
            <w:tcBorders/>
            <w:vAlign w:val="bottom"/>
          </w:tcPr>
          <w:p>
            <w:pPr>
              <w:pStyle w:val="TableContents"/>
              <w:bidi w:val="0"/>
              <w:spacing w:before="0" w:after="283"/>
              <w:jc w:val="left"/>
              <w:rPr/>
            </w:pPr>
            <w:r>
              <w:rPr/>
              <w:t> </w:t>
            </w:r>
          </w:p>
        </w:tc>
        <w:tc>
          <w:tcPr>
            <w:tcW w:w="24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 </w:t>
            </w:r>
          </w:p>
        </w:tc>
      </w:tr>
      <w:tr>
        <w:trPr/>
        <w:tc>
          <w:tcPr>
            <w:tcW w:w="1482" w:type="dxa"/>
            <w:tcBorders/>
          </w:tcPr>
          <w:p>
            <w:pPr>
              <w:pStyle w:val="TableContents"/>
              <w:bidi w:val="0"/>
              <w:spacing w:before="0" w:after="283"/>
              <w:jc w:val="left"/>
              <w:rPr/>
            </w:pPr>
            <w:r>
              <w:rPr/>
              <w:t>Name:</w:t>
            </w:r>
          </w:p>
        </w:tc>
        <w:tc>
          <w:tcPr>
            <w:tcW w:w="145" w:type="dxa"/>
            <w:tcBorders/>
            <w:vAlign w:val="bottom"/>
          </w:tcPr>
          <w:p>
            <w:pPr>
              <w:pStyle w:val="TableContents"/>
              <w:bidi w:val="0"/>
              <w:spacing w:before="0" w:after="283"/>
              <w:jc w:val="left"/>
              <w:rPr/>
            </w:pPr>
            <w:r>
              <w:rPr/>
              <w:t> </w:t>
            </w:r>
          </w:p>
        </w:tc>
        <w:tc>
          <w:tcPr>
            <w:tcW w:w="2455" w:type="dxa"/>
            <w:tcBorders/>
          </w:tcPr>
          <w:p>
            <w:pPr>
              <w:pStyle w:val="TableContents"/>
              <w:bidi w:val="0"/>
              <w:spacing w:before="0" w:after="283"/>
              <w:jc w:val="left"/>
              <w:rPr/>
            </w:pPr>
            <w:r>
              <w:rPr/>
              <w:t xml:space="preserve">[*] </w:t>
            </w:r>
          </w:p>
        </w:tc>
      </w:tr>
      <w:tr>
        <w:trPr/>
        <w:tc>
          <w:tcPr>
            <w:tcW w:w="1482" w:type="dxa"/>
            <w:tcBorders/>
          </w:tcPr>
          <w:p>
            <w:pPr>
              <w:pStyle w:val="TableContents"/>
              <w:bidi w:val="0"/>
              <w:spacing w:before="0" w:after="283"/>
              <w:jc w:val="left"/>
              <w:rPr/>
            </w:pPr>
            <w:r>
              <w:rPr/>
              <w:t>Title:</w:t>
            </w:r>
          </w:p>
        </w:tc>
        <w:tc>
          <w:tcPr>
            <w:tcW w:w="145" w:type="dxa"/>
            <w:tcBorders/>
            <w:vAlign w:val="bottom"/>
          </w:tcPr>
          <w:p>
            <w:pPr>
              <w:pStyle w:val="TableContents"/>
              <w:bidi w:val="0"/>
              <w:spacing w:before="0" w:after="283"/>
              <w:jc w:val="left"/>
              <w:rPr/>
            </w:pPr>
            <w:r>
              <w:rPr/>
              <w:t> </w:t>
            </w:r>
          </w:p>
        </w:tc>
        <w:tc>
          <w:tcPr>
            <w:tcW w:w="2455" w:type="dxa"/>
            <w:tcBorders/>
          </w:tcPr>
          <w:p>
            <w:pPr>
              <w:pStyle w:val="TableContents"/>
              <w:bidi w:val="0"/>
              <w:spacing w:before="0" w:after="283"/>
              <w:jc w:val="left"/>
              <w:rPr/>
            </w:pPr>
            <w:r>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384"/>
        <w:gridCol w:w="134"/>
        <w:gridCol w:w="2564"/>
      </w:tblGrid>
      <w:tr>
        <w:trPr/>
        <w:tc>
          <w:tcPr>
            <w:tcW w:w="138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WINDERMERE INVESTMENT CORPORATION</w:t>
            </w:r>
          </w:p>
        </w:tc>
      </w:tr>
      <w:tr>
        <w:trPr>
          <w:trHeight w:val="240" w:hRule="atLeast"/>
        </w:trPr>
        <w:tc>
          <w:tcPr>
            <w:tcW w:w="1384" w:type="dxa"/>
            <w:tcBorders/>
            <w:vAlign w:val="center"/>
          </w:tcPr>
          <w:p>
            <w:pPr>
              <w:pStyle w:val="TableContents"/>
              <w:bidi w:val="0"/>
              <w:spacing w:before="0" w:after="283"/>
              <w:jc w:val="left"/>
              <w:rPr>
                <w:sz w:val="4"/>
                <w:szCs w:val="4"/>
              </w:rPr>
            </w:pPr>
            <w:r>
              <w:rPr>
                <w:sz w:val="4"/>
                <w:szCs w:val="4"/>
              </w:rPr>
            </w:r>
          </w:p>
        </w:tc>
        <w:tc>
          <w:tcPr>
            <w:tcW w:w="2698" w:type="dxa"/>
            <w:gridSpan w:val="2"/>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283"/>
              <w:jc w:val="left"/>
              <w:rPr/>
            </w:pPr>
            <w:r>
              <w:rPr/>
              <w:t>By:</w:t>
            </w:r>
          </w:p>
        </w:tc>
        <w:tc>
          <w:tcPr>
            <w:tcW w:w="134" w:type="dxa"/>
            <w:tcBorders/>
            <w:vAlign w:val="bottom"/>
          </w:tcPr>
          <w:p>
            <w:pPr>
              <w:pStyle w:val="TableContents"/>
              <w:bidi w:val="0"/>
              <w:spacing w:before="0" w:after="283"/>
              <w:jc w:val="left"/>
              <w:rPr/>
            </w:pPr>
            <w:r>
              <w:rPr/>
              <w:t> </w:t>
            </w:r>
          </w:p>
        </w:tc>
        <w:tc>
          <w:tcPr>
            <w:tcW w:w="25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 </w:t>
            </w:r>
          </w:p>
        </w:tc>
      </w:tr>
      <w:tr>
        <w:trPr/>
        <w:tc>
          <w:tcPr>
            <w:tcW w:w="1384" w:type="dxa"/>
            <w:tcBorders/>
          </w:tcPr>
          <w:p>
            <w:pPr>
              <w:pStyle w:val="TableContents"/>
              <w:bidi w:val="0"/>
              <w:spacing w:before="0" w:after="283"/>
              <w:jc w:val="left"/>
              <w:rPr/>
            </w:pPr>
            <w:r>
              <w:rPr/>
              <w:t>Name:</w:t>
            </w:r>
          </w:p>
        </w:tc>
        <w:tc>
          <w:tcPr>
            <w:tcW w:w="134" w:type="dxa"/>
            <w:tcBorders/>
            <w:vAlign w:val="bottom"/>
          </w:tcPr>
          <w:p>
            <w:pPr>
              <w:pStyle w:val="TableContents"/>
              <w:bidi w:val="0"/>
              <w:spacing w:before="0" w:after="283"/>
              <w:jc w:val="left"/>
              <w:rPr/>
            </w:pPr>
            <w:r>
              <w:rPr/>
              <w:t> </w:t>
            </w:r>
          </w:p>
        </w:tc>
        <w:tc>
          <w:tcPr>
            <w:tcW w:w="2564" w:type="dxa"/>
            <w:tcBorders/>
          </w:tcPr>
          <w:p>
            <w:pPr>
              <w:pStyle w:val="TableContents"/>
              <w:bidi w:val="0"/>
              <w:spacing w:before="0" w:after="283"/>
              <w:jc w:val="left"/>
              <w:rPr/>
            </w:pPr>
            <w:r>
              <w:rPr/>
              <w:t xml:space="preserve">[*] </w:t>
            </w:r>
          </w:p>
        </w:tc>
      </w:tr>
      <w:tr>
        <w:trPr/>
        <w:tc>
          <w:tcPr>
            <w:tcW w:w="1384" w:type="dxa"/>
            <w:tcBorders/>
          </w:tcPr>
          <w:p>
            <w:pPr>
              <w:pStyle w:val="TableContents"/>
              <w:bidi w:val="0"/>
              <w:spacing w:before="0" w:after="283"/>
              <w:jc w:val="left"/>
              <w:rPr/>
            </w:pPr>
            <w:r>
              <w:rPr/>
              <w:t>Title:</w:t>
            </w:r>
          </w:p>
        </w:tc>
        <w:tc>
          <w:tcPr>
            <w:tcW w:w="134" w:type="dxa"/>
            <w:tcBorders/>
            <w:vAlign w:val="bottom"/>
          </w:tcPr>
          <w:p>
            <w:pPr>
              <w:pStyle w:val="TableContents"/>
              <w:bidi w:val="0"/>
              <w:spacing w:before="0" w:after="283"/>
              <w:jc w:val="left"/>
              <w:rPr/>
            </w:pPr>
            <w:r>
              <w:rPr/>
              <w:t> </w:t>
            </w:r>
          </w:p>
        </w:tc>
        <w:tc>
          <w:tcPr>
            <w:tcW w:w="2564" w:type="dxa"/>
            <w:tcBorders/>
          </w:tcPr>
          <w:p>
            <w:pPr>
              <w:pStyle w:val="TableContents"/>
              <w:bidi w:val="0"/>
              <w:spacing w:before="0" w:after="283"/>
              <w:jc w:val="left"/>
              <w:rPr/>
            </w:pPr>
            <w:r>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438"/>
        <w:gridCol w:w="140"/>
        <w:gridCol w:w="2504"/>
      </w:tblGrid>
      <w:tr>
        <w:trPr/>
        <w:tc>
          <w:tcPr>
            <w:tcW w:w="143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CONCISE CAPITAL MANAGEMENT, LP</w:t>
            </w:r>
          </w:p>
        </w:tc>
      </w:tr>
      <w:tr>
        <w:trPr>
          <w:trHeight w:val="240" w:hRule="atLeast"/>
        </w:trPr>
        <w:tc>
          <w:tcPr>
            <w:tcW w:w="1438" w:type="dxa"/>
            <w:tcBorders/>
            <w:vAlign w:val="center"/>
          </w:tcPr>
          <w:p>
            <w:pPr>
              <w:pStyle w:val="TableContents"/>
              <w:bidi w:val="0"/>
              <w:spacing w:before="0" w:after="283"/>
              <w:jc w:val="left"/>
              <w:rPr>
                <w:sz w:val="4"/>
                <w:szCs w:val="4"/>
              </w:rPr>
            </w:pPr>
            <w:r>
              <w:rPr>
                <w:sz w:val="4"/>
                <w:szCs w:val="4"/>
              </w:rPr>
            </w:r>
          </w:p>
        </w:tc>
        <w:tc>
          <w:tcPr>
            <w:tcW w:w="2644" w:type="dxa"/>
            <w:gridSpan w:val="2"/>
            <w:tcBorders/>
            <w:vAlign w:val="center"/>
          </w:tcPr>
          <w:p>
            <w:pPr>
              <w:pStyle w:val="TableContents"/>
              <w:bidi w:val="0"/>
              <w:spacing w:before="0" w:after="283"/>
              <w:jc w:val="left"/>
              <w:rPr>
                <w:sz w:val="4"/>
                <w:szCs w:val="4"/>
              </w:rPr>
            </w:pPr>
            <w:r>
              <w:rPr>
                <w:sz w:val="4"/>
                <w:szCs w:val="4"/>
              </w:rPr>
            </w:r>
          </w:p>
        </w:tc>
      </w:tr>
      <w:tr>
        <w:trPr/>
        <w:tc>
          <w:tcPr>
            <w:tcW w:w="1438" w:type="dxa"/>
            <w:tcBorders/>
          </w:tcPr>
          <w:p>
            <w:pPr>
              <w:pStyle w:val="TableContents"/>
              <w:bidi w:val="0"/>
              <w:spacing w:before="0" w:after="283"/>
              <w:jc w:val="left"/>
              <w:rPr/>
            </w:pPr>
            <w:r>
              <w:rPr/>
              <w:t>By:</w:t>
            </w:r>
          </w:p>
        </w:tc>
        <w:tc>
          <w:tcPr>
            <w:tcW w:w="140" w:type="dxa"/>
            <w:tcBorders/>
            <w:vAlign w:val="bottom"/>
          </w:tcPr>
          <w:p>
            <w:pPr>
              <w:pStyle w:val="TableContents"/>
              <w:bidi w:val="0"/>
              <w:spacing w:before="0" w:after="283"/>
              <w:jc w:val="left"/>
              <w:rPr/>
            </w:pPr>
            <w:r>
              <w:rPr/>
              <w:t> </w:t>
            </w:r>
          </w:p>
        </w:tc>
        <w:tc>
          <w:tcPr>
            <w:tcW w:w="2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 </w:t>
            </w:r>
          </w:p>
        </w:tc>
      </w:tr>
      <w:tr>
        <w:trPr/>
        <w:tc>
          <w:tcPr>
            <w:tcW w:w="1438" w:type="dxa"/>
            <w:tcBorders/>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504" w:type="dxa"/>
            <w:tcBorders/>
          </w:tcPr>
          <w:p>
            <w:pPr>
              <w:pStyle w:val="TableContents"/>
              <w:bidi w:val="0"/>
              <w:spacing w:before="0" w:after="283"/>
              <w:jc w:val="left"/>
              <w:rPr/>
            </w:pPr>
            <w:r>
              <w:rPr/>
              <w:t xml:space="preserve">[*] </w:t>
            </w:r>
          </w:p>
        </w:tc>
      </w:tr>
      <w:tr>
        <w:trPr/>
        <w:tc>
          <w:tcPr>
            <w:tcW w:w="1438" w:type="dxa"/>
            <w:tcBorders/>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504" w:type="dxa"/>
            <w:tcBorders/>
          </w:tcPr>
          <w:p>
            <w:pPr>
              <w:pStyle w:val="TableContents"/>
              <w:bidi w:val="0"/>
              <w:spacing w:before="0" w:after="283"/>
              <w:jc w:val="left"/>
              <w:rPr/>
            </w:pPr>
            <w:r>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006"/>
        <w:gridCol w:w="94"/>
        <w:gridCol w:w="2982"/>
      </w:tblGrid>
      <w:tr>
        <w:trPr/>
        <w:tc>
          <w:tcPr>
            <w:tcW w:w="1006"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NEWPORT GLOBAL ADVISORS</w:t>
            </w:r>
          </w:p>
        </w:tc>
      </w:tr>
      <w:tr>
        <w:trPr>
          <w:trHeight w:val="240" w:hRule="atLeast"/>
        </w:trPr>
        <w:tc>
          <w:tcPr>
            <w:tcW w:w="1006" w:type="dxa"/>
            <w:tcBorders/>
            <w:vAlign w:val="center"/>
          </w:tcPr>
          <w:p>
            <w:pPr>
              <w:pStyle w:val="TableContents"/>
              <w:bidi w:val="0"/>
              <w:spacing w:before="0" w:after="283"/>
              <w:jc w:val="left"/>
              <w:rPr>
                <w:sz w:val="4"/>
                <w:szCs w:val="4"/>
              </w:rPr>
            </w:pPr>
            <w:r>
              <w:rPr>
                <w:sz w:val="4"/>
                <w:szCs w:val="4"/>
              </w:rPr>
            </w:r>
          </w:p>
        </w:tc>
        <w:tc>
          <w:tcPr>
            <w:tcW w:w="3076" w:type="dxa"/>
            <w:gridSpan w:val="2"/>
            <w:tcBorders/>
            <w:vAlign w:val="center"/>
          </w:tcPr>
          <w:p>
            <w:pPr>
              <w:pStyle w:val="TableContents"/>
              <w:bidi w:val="0"/>
              <w:spacing w:before="0" w:after="283"/>
              <w:jc w:val="left"/>
              <w:rPr>
                <w:sz w:val="4"/>
                <w:szCs w:val="4"/>
              </w:rPr>
            </w:pPr>
            <w:r>
              <w:rPr>
                <w:sz w:val="4"/>
                <w:szCs w:val="4"/>
              </w:rPr>
            </w:r>
          </w:p>
        </w:tc>
      </w:tr>
      <w:tr>
        <w:trPr/>
        <w:tc>
          <w:tcPr>
            <w:tcW w:w="1006"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29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 </w:t>
            </w:r>
          </w:p>
        </w:tc>
      </w:tr>
      <w:tr>
        <w:trPr/>
        <w:tc>
          <w:tcPr>
            <w:tcW w:w="1006" w:type="dxa"/>
            <w:tcBorders/>
          </w:tcPr>
          <w:p>
            <w:pPr>
              <w:pStyle w:val="TableContents"/>
              <w:bidi w:val="0"/>
              <w:spacing w:before="0" w:after="283"/>
              <w:jc w:val="left"/>
              <w:rPr/>
            </w:pPr>
            <w:r>
              <w:rPr/>
              <w:t>Name:</w:t>
            </w:r>
          </w:p>
        </w:tc>
        <w:tc>
          <w:tcPr>
            <w:tcW w:w="94" w:type="dxa"/>
            <w:tcBorders/>
            <w:vAlign w:val="bottom"/>
          </w:tcPr>
          <w:p>
            <w:pPr>
              <w:pStyle w:val="TableContents"/>
              <w:bidi w:val="0"/>
              <w:spacing w:before="0" w:after="283"/>
              <w:jc w:val="left"/>
              <w:rPr/>
            </w:pPr>
            <w:r>
              <w:rPr/>
              <w:t> </w:t>
            </w:r>
          </w:p>
        </w:tc>
        <w:tc>
          <w:tcPr>
            <w:tcW w:w="2982" w:type="dxa"/>
            <w:tcBorders/>
          </w:tcPr>
          <w:p>
            <w:pPr>
              <w:pStyle w:val="TableContents"/>
              <w:bidi w:val="0"/>
              <w:spacing w:before="0" w:after="283"/>
              <w:jc w:val="left"/>
              <w:rPr/>
            </w:pPr>
            <w:r>
              <w:rPr/>
              <w:t xml:space="preserve">[*] </w:t>
            </w:r>
          </w:p>
        </w:tc>
      </w:tr>
      <w:tr>
        <w:trPr/>
        <w:tc>
          <w:tcPr>
            <w:tcW w:w="1006" w:type="dxa"/>
            <w:tcBorders/>
          </w:tcPr>
          <w:p>
            <w:pPr>
              <w:pStyle w:val="TableContents"/>
              <w:bidi w:val="0"/>
              <w:spacing w:before="0" w:after="283"/>
              <w:jc w:val="left"/>
              <w:rPr/>
            </w:pPr>
            <w:r>
              <w:rPr/>
              <w:t>Title:</w:t>
            </w:r>
          </w:p>
        </w:tc>
        <w:tc>
          <w:tcPr>
            <w:tcW w:w="94" w:type="dxa"/>
            <w:tcBorders/>
            <w:vAlign w:val="bottom"/>
          </w:tcPr>
          <w:p>
            <w:pPr>
              <w:pStyle w:val="TableContents"/>
              <w:bidi w:val="0"/>
              <w:spacing w:before="0" w:after="283"/>
              <w:jc w:val="left"/>
              <w:rPr/>
            </w:pPr>
            <w:r>
              <w:rPr/>
              <w:t> </w:t>
            </w:r>
          </w:p>
        </w:tc>
        <w:tc>
          <w:tcPr>
            <w:tcW w:w="2982" w:type="dxa"/>
            <w:tcBorders/>
          </w:tcPr>
          <w:p>
            <w:pPr>
              <w:pStyle w:val="TableContents"/>
              <w:bidi w:val="0"/>
              <w:spacing w:before="0" w:after="283"/>
              <w:jc w:val="left"/>
              <w:rPr/>
            </w:pPr>
            <w:r>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482"/>
        <w:gridCol w:w="145"/>
        <w:gridCol w:w="2455"/>
      </w:tblGrid>
      <w:tr>
        <w:trPr/>
        <w:tc>
          <w:tcPr>
            <w:tcW w:w="1482"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ALGEBRIS (UK) LIMITED, ACTING SOLELY AS AGENT ON BEHALF OF ALGEBRIS UCITS FUNDS PLC – ALGEBRIS GLOBAL CREDIT OPPORTUNITIES FUND</w:t>
            </w:r>
          </w:p>
        </w:tc>
      </w:tr>
      <w:tr>
        <w:trPr>
          <w:trHeight w:val="240" w:hRule="atLeast"/>
        </w:trPr>
        <w:tc>
          <w:tcPr>
            <w:tcW w:w="1482" w:type="dxa"/>
            <w:tcBorders/>
            <w:vAlign w:val="center"/>
          </w:tcPr>
          <w:p>
            <w:pPr>
              <w:pStyle w:val="TableContents"/>
              <w:bidi w:val="0"/>
              <w:spacing w:before="0" w:after="283"/>
              <w:jc w:val="left"/>
              <w:rPr>
                <w:sz w:val="4"/>
                <w:szCs w:val="4"/>
              </w:rPr>
            </w:pPr>
            <w:r>
              <w:rPr>
                <w:sz w:val="4"/>
                <w:szCs w:val="4"/>
              </w:rPr>
            </w:r>
          </w:p>
        </w:tc>
        <w:tc>
          <w:tcPr>
            <w:tcW w:w="2600" w:type="dxa"/>
            <w:gridSpan w:val="2"/>
            <w:tcBorders/>
            <w:vAlign w:val="center"/>
          </w:tcPr>
          <w:p>
            <w:pPr>
              <w:pStyle w:val="TableContents"/>
              <w:bidi w:val="0"/>
              <w:spacing w:before="0" w:after="283"/>
              <w:jc w:val="left"/>
              <w:rPr>
                <w:sz w:val="4"/>
                <w:szCs w:val="4"/>
              </w:rPr>
            </w:pPr>
            <w:r>
              <w:rPr>
                <w:sz w:val="4"/>
                <w:szCs w:val="4"/>
              </w:rPr>
            </w:r>
          </w:p>
        </w:tc>
      </w:tr>
      <w:tr>
        <w:trPr/>
        <w:tc>
          <w:tcPr>
            <w:tcW w:w="1482" w:type="dxa"/>
            <w:tcBorders/>
          </w:tcPr>
          <w:p>
            <w:pPr>
              <w:pStyle w:val="TableContents"/>
              <w:bidi w:val="0"/>
              <w:spacing w:before="0" w:after="283"/>
              <w:jc w:val="left"/>
              <w:rPr/>
            </w:pPr>
            <w:r>
              <w:rPr/>
              <w:t>By:</w:t>
            </w:r>
          </w:p>
        </w:tc>
        <w:tc>
          <w:tcPr>
            <w:tcW w:w="145" w:type="dxa"/>
            <w:tcBorders/>
            <w:vAlign w:val="bottom"/>
          </w:tcPr>
          <w:p>
            <w:pPr>
              <w:pStyle w:val="TableContents"/>
              <w:bidi w:val="0"/>
              <w:spacing w:before="0" w:after="283"/>
              <w:jc w:val="left"/>
              <w:rPr/>
            </w:pPr>
            <w:r>
              <w:rPr/>
              <w:t> </w:t>
            </w:r>
          </w:p>
        </w:tc>
        <w:tc>
          <w:tcPr>
            <w:tcW w:w="24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 </w:t>
            </w:r>
          </w:p>
        </w:tc>
      </w:tr>
      <w:tr>
        <w:trPr/>
        <w:tc>
          <w:tcPr>
            <w:tcW w:w="1482" w:type="dxa"/>
            <w:tcBorders/>
          </w:tcPr>
          <w:p>
            <w:pPr>
              <w:pStyle w:val="TableContents"/>
              <w:bidi w:val="0"/>
              <w:spacing w:before="0" w:after="283"/>
              <w:jc w:val="left"/>
              <w:rPr/>
            </w:pPr>
            <w:r>
              <w:rPr/>
              <w:t>Name:</w:t>
            </w:r>
          </w:p>
        </w:tc>
        <w:tc>
          <w:tcPr>
            <w:tcW w:w="145" w:type="dxa"/>
            <w:tcBorders/>
            <w:vAlign w:val="bottom"/>
          </w:tcPr>
          <w:p>
            <w:pPr>
              <w:pStyle w:val="TableContents"/>
              <w:bidi w:val="0"/>
              <w:spacing w:before="0" w:after="283"/>
              <w:jc w:val="left"/>
              <w:rPr/>
            </w:pPr>
            <w:r>
              <w:rPr/>
              <w:t> </w:t>
            </w:r>
          </w:p>
        </w:tc>
        <w:tc>
          <w:tcPr>
            <w:tcW w:w="2455" w:type="dxa"/>
            <w:tcBorders/>
          </w:tcPr>
          <w:p>
            <w:pPr>
              <w:pStyle w:val="TableContents"/>
              <w:bidi w:val="0"/>
              <w:spacing w:before="0" w:after="283"/>
              <w:jc w:val="left"/>
              <w:rPr/>
            </w:pPr>
            <w:r>
              <w:rPr/>
              <w:t xml:space="preserve">[*] </w:t>
            </w:r>
          </w:p>
        </w:tc>
      </w:tr>
      <w:tr>
        <w:trPr/>
        <w:tc>
          <w:tcPr>
            <w:tcW w:w="1482" w:type="dxa"/>
            <w:tcBorders/>
          </w:tcPr>
          <w:p>
            <w:pPr>
              <w:pStyle w:val="TableContents"/>
              <w:bidi w:val="0"/>
              <w:spacing w:before="0" w:after="283"/>
              <w:jc w:val="left"/>
              <w:rPr/>
            </w:pPr>
            <w:r>
              <w:rPr/>
              <w:t>Title:</w:t>
            </w:r>
          </w:p>
        </w:tc>
        <w:tc>
          <w:tcPr>
            <w:tcW w:w="145" w:type="dxa"/>
            <w:tcBorders/>
            <w:vAlign w:val="bottom"/>
          </w:tcPr>
          <w:p>
            <w:pPr>
              <w:pStyle w:val="TableContents"/>
              <w:bidi w:val="0"/>
              <w:spacing w:before="0" w:after="283"/>
              <w:jc w:val="left"/>
              <w:rPr/>
            </w:pPr>
            <w:r>
              <w:rPr/>
              <w:t> </w:t>
            </w:r>
          </w:p>
        </w:tc>
        <w:tc>
          <w:tcPr>
            <w:tcW w:w="2455" w:type="dxa"/>
            <w:tcBorders/>
          </w:tcPr>
          <w:p>
            <w:pPr>
              <w:pStyle w:val="TableContents"/>
              <w:bidi w:val="0"/>
              <w:spacing w:before="0" w:after="283"/>
              <w:jc w:val="left"/>
              <w:rPr/>
            </w:pPr>
            <w:r>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222"/>
        <w:gridCol w:w="117"/>
        <w:gridCol w:w="2743"/>
      </w:tblGrid>
      <w:tr>
        <w:trPr/>
        <w:tc>
          <w:tcPr>
            <w:tcW w:w="122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BOOTHBAY ABSOLUTE RETURN STRATEGIES, LP</w:t>
            </w:r>
          </w:p>
        </w:tc>
      </w:tr>
      <w:tr>
        <w:trPr>
          <w:trHeight w:val="240" w:hRule="atLeast"/>
        </w:trPr>
        <w:tc>
          <w:tcPr>
            <w:tcW w:w="1222" w:type="dxa"/>
            <w:tcBorders/>
            <w:vAlign w:val="center"/>
          </w:tcPr>
          <w:p>
            <w:pPr>
              <w:pStyle w:val="TableContents"/>
              <w:bidi w:val="0"/>
              <w:spacing w:before="0" w:after="283"/>
              <w:jc w:val="left"/>
              <w:rPr>
                <w:sz w:val="4"/>
                <w:szCs w:val="4"/>
              </w:rPr>
            </w:pPr>
            <w:r>
              <w:rPr>
                <w:sz w:val="4"/>
                <w:szCs w:val="4"/>
              </w:rPr>
            </w:r>
          </w:p>
        </w:tc>
        <w:tc>
          <w:tcPr>
            <w:tcW w:w="2860" w:type="dxa"/>
            <w:gridSpan w:val="2"/>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283"/>
              <w:jc w:val="left"/>
              <w:rPr/>
            </w:pPr>
            <w:r>
              <w:rPr/>
              <w:t>By:</w:t>
            </w:r>
          </w:p>
        </w:tc>
        <w:tc>
          <w:tcPr>
            <w:tcW w:w="117" w:type="dxa"/>
            <w:tcBorders/>
            <w:vAlign w:val="bottom"/>
          </w:tcPr>
          <w:p>
            <w:pPr>
              <w:pStyle w:val="TableContents"/>
              <w:bidi w:val="0"/>
              <w:spacing w:before="0" w:after="283"/>
              <w:jc w:val="left"/>
              <w:rPr/>
            </w:pPr>
            <w:r>
              <w:rPr/>
              <w:t> </w:t>
            </w:r>
          </w:p>
        </w:tc>
        <w:tc>
          <w:tcPr>
            <w:tcW w:w="27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 </w:t>
            </w:r>
          </w:p>
        </w:tc>
      </w:tr>
      <w:tr>
        <w:trPr/>
        <w:tc>
          <w:tcPr>
            <w:tcW w:w="1222" w:type="dxa"/>
            <w:tcBorders/>
          </w:tcPr>
          <w:p>
            <w:pPr>
              <w:pStyle w:val="TableContents"/>
              <w:bidi w:val="0"/>
              <w:spacing w:before="0" w:after="283"/>
              <w:jc w:val="left"/>
              <w:rPr/>
            </w:pPr>
            <w:r>
              <w:rPr/>
              <w:t>Name:</w:t>
            </w:r>
          </w:p>
        </w:tc>
        <w:tc>
          <w:tcPr>
            <w:tcW w:w="117" w:type="dxa"/>
            <w:tcBorders/>
            <w:vAlign w:val="bottom"/>
          </w:tcPr>
          <w:p>
            <w:pPr>
              <w:pStyle w:val="TableContents"/>
              <w:bidi w:val="0"/>
              <w:spacing w:before="0" w:after="283"/>
              <w:jc w:val="left"/>
              <w:rPr/>
            </w:pPr>
            <w:r>
              <w:rPr/>
              <w:t> </w:t>
            </w:r>
          </w:p>
        </w:tc>
        <w:tc>
          <w:tcPr>
            <w:tcW w:w="2743" w:type="dxa"/>
            <w:tcBorders/>
          </w:tcPr>
          <w:p>
            <w:pPr>
              <w:pStyle w:val="TableContents"/>
              <w:bidi w:val="0"/>
              <w:spacing w:before="0" w:after="283"/>
              <w:jc w:val="left"/>
              <w:rPr/>
            </w:pPr>
            <w:r>
              <w:rPr/>
              <w:t xml:space="preserve">[*] </w:t>
            </w:r>
          </w:p>
        </w:tc>
      </w:tr>
      <w:tr>
        <w:trPr/>
        <w:tc>
          <w:tcPr>
            <w:tcW w:w="1222" w:type="dxa"/>
            <w:tcBorders/>
          </w:tcPr>
          <w:p>
            <w:pPr>
              <w:pStyle w:val="TableContents"/>
              <w:bidi w:val="0"/>
              <w:spacing w:before="0" w:after="283"/>
              <w:jc w:val="left"/>
              <w:rPr/>
            </w:pPr>
            <w:r>
              <w:rPr/>
              <w:t>Title:</w:t>
            </w:r>
          </w:p>
        </w:tc>
        <w:tc>
          <w:tcPr>
            <w:tcW w:w="117" w:type="dxa"/>
            <w:tcBorders/>
            <w:vAlign w:val="bottom"/>
          </w:tcPr>
          <w:p>
            <w:pPr>
              <w:pStyle w:val="TableContents"/>
              <w:bidi w:val="0"/>
              <w:spacing w:before="0" w:after="283"/>
              <w:jc w:val="left"/>
              <w:rPr/>
            </w:pPr>
            <w:r>
              <w:rPr/>
              <w:t> </w:t>
            </w:r>
          </w:p>
        </w:tc>
        <w:tc>
          <w:tcPr>
            <w:tcW w:w="2743" w:type="dxa"/>
            <w:tcBorders/>
          </w:tcPr>
          <w:p>
            <w:pPr>
              <w:pStyle w:val="TableContents"/>
              <w:bidi w:val="0"/>
              <w:spacing w:before="0" w:after="283"/>
              <w:jc w:val="left"/>
              <w:rPr/>
            </w:pPr>
            <w:r>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71"/>
        <w:gridCol w:w="82"/>
        <w:gridCol w:w="3029"/>
      </w:tblGrid>
      <w:tr>
        <w:trPr/>
        <w:tc>
          <w:tcPr>
            <w:tcW w:w="971"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David L. Cohen Revocable Trust</w:t>
            </w:r>
          </w:p>
        </w:tc>
      </w:tr>
      <w:tr>
        <w:trPr>
          <w:trHeight w:val="240" w:hRule="atLeast"/>
        </w:trPr>
        <w:tc>
          <w:tcPr>
            <w:tcW w:w="971" w:type="dxa"/>
            <w:tcBorders/>
            <w:vAlign w:val="center"/>
          </w:tcPr>
          <w:p>
            <w:pPr>
              <w:pStyle w:val="TableContents"/>
              <w:bidi w:val="0"/>
              <w:spacing w:before="0" w:after="283"/>
              <w:jc w:val="left"/>
              <w:rPr>
                <w:sz w:val="4"/>
                <w:szCs w:val="4"/>
              </w:rPr>
            </w:pPr>
            <w:r>
              <w:rPr>
                <w:sz w:val="4"/>
                <w:szCs w:val="4"/>
              </w:rPr>
            </w:r>
          </w:p>
        </w:tc>
        <w:tc>
          <w:tcPr>
            <w:tcW w:w="3111" w:type="dxa"/>
            <w:gridSpan w:val="2"/>
            <w:tcBorders/>
            <w:vAlign w:val="center"/>
          </w:tcPr>
          <w:p>
            <w:pPr>
              <w:pStyle w:val="TableContents"/>
              <w:bidi w:val="0"/>
              <w:spacing w:before="0" w:after="283"/>
              <w:jc w:val="left"/>
              <w:rPr>
                <w:sz w:val="4"/>
                <w:szCs w:val="4"/>
              </w:rPr>
            </w:pPr>
            <w:r>
              <w:rPr>
                <w:sz w:val="4"/>
                <w:szCs w:val="4"/>
              </w:rPr>
            </w:r>
          </w:p>
        </w:tc>
      </w:tr>
      <w:tr>
        <w:trPr/>
        <w:tc>
          <w:tcPr>
            <w:tcW w:w="97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971" w:type="dxa"/>
            <w:tcBorders/>
          </w:tcPr>
          <w:p>
            <w:pPr>
              <w:pStyle w:val="TableContents"/>
              <w:bidi w:val="0"/>
              <w:spacing w:before="0" w:after="283"/>
              <w:jc w:val="left"/>
              <w:rPr/>
            </w:pPr>
            <w:r>
              <w:rPr/>
              <w:t>Name:</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r>
        <w:trPr/>
        <w:tc>
          <w:tcPr>
            <w:tcW w:w="971" w:type="dxa"/>
            <w:tcBorders/>
          </w:tcPr>
          <w:p>
            <w:pPr>
              <w:pStyle w:val="TableContents"/>
              <w:bidi w:val="0"/>
              <w:spacing w:before="0" w:after="283"/>
              <w:jc w:val="left"/>
              <w:rPr/>
            </w:pPr>
            <w:r>
              <w:rPr/>
              <w:t>Title:</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David L. Cohen Colorado QPRT</w:t>
            </w:r>
          </w:p>
        </w:tc>
      </w:tr>
      <w:tr>
        <w:trPr>
          <w:trHeight w:val="240" w:hRule="atLeast"/>
        </w:trPr>
        <w:tc>
          <w:tcPr>
            <w:tcW w:w="971" w:type="dxa"/>
            <w:tcBorders/>
            <w:vAlign w:val="center"/>
          </w:tcPr>
          <w:p>
            <w:pPr>
              <w:pStyle w:val="TableContents"/>
              <w:bidi w:val="0"/>
              <w:spacing w:before="0" w:after="283"/>
              <w:jc w:val="left"/>
              <w:rPr>
                <w:sz w:val="4"/>
                <w:szCs w:val="4"/>
              </w:rPr>
            </w:pPr>
            <w:r>
              <w:rPr>
                <w:sz w:val="4"/>
                <w:szCs w:val="4"/>
              </w:rPr>
            </w:r>
          </w:p>
        </w:tc>
        <w:tc>
          <w:tcPr>
            <w:tcW w:w="3111" w:type="dxa"/>
            <w:gridSpan w:val="2"/>
            <w:tcBorders/>
            <w:vAlign w:val="center"/>
          </w:tcPr>
          <w:p>
            <w:pPr>
              <w:pStyle w:val="TableContents"/>
              <w:bidi w:val="0"/>
              <w:spacing w:before="0" w:after="283"/>
              <w:jc w:val="left"/>
              <w:rPr>
                <w:sz w:val="4"/>
                <w:szCs w:val="4"/>
              </w:rPr>
            </w:pPr>
            <w:r>
              <w:rPr>
                <w:sz w:val="4"/>
                <w:szCs w:val="4"/>
              </w:rPr>
            </w:r>
          </w:p>
        </w:tc>
      </w:tr>
      <w:tr>
        <w:trPr/>
        <w:tc>
          <w:tcPr>
            <w:tcW w:w="97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971" w:type="dxa"/>
            <w:tcBorders/>
          </w:tcPr>
          <w:p>
            <w:pPr>
              <w:pStyle w:val="TableContents"/>
              <w:bidi w:val="0"/>
              <w:spacing w:before="0" w:after="283"/>
              <w:jc w:val="left"/>
              <w:rPr/>
            </w:pPr>
            <w:r>
              <w:rPr/>
              <w:t>Name:</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r>
        <w:trPr/>
        <w:tc>
          <w:tcPr>
            <w:tcW w:w="971" w:type="dxa"/>
            <w:tcBorders/>
          </w:tcPr>
          <w:p>
            <w:pPr>
              <w:pStyle w:val="TableContents"/>
              <w:bidi w:val="0"/>
              <w:spacing w:before="0" w:after="283"/>
              <w:jc w:val="left"/>
              <w:rPr/>
            </w:pPr>
            <w:r>
              <w:rPr/>
              <w:t>Title:</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Peak View Charitable Foundation</w:t>
            </w:r>
          </w:p>
        </w:tc>
      </w:tr>
      <w:tr>
        <w:trPr>
          <w:trHeight w:val="240" w:hRule="atLeast"/>
        </w:trPr>
        <w:tc>
          <w:tcPr>
            <w:tcW w:w="971" w:type="dxa"/>
            <w:tcBorders/>
            <w:vAlign w:val="center"/>
          </w:tcPr>
          <w:p>
            <w:pPr>
              <w:pStyle w:val="TableContents"/>
              <w:bidi w:val="0"/>
              <w:spacing w:before="0" w:after="283"/>
              <w:jc w:val="left"/>
              <w:rPr>
                <w:sz w:val="4"/>
                <w:szCs w:val="4"/>
              </w:rPr>
            </w:pPr>
            <w:r>
              <w:rPr>
                <w:sz w:val="4"/>
                <w:szCs w:val="4"/>
              </w:rPr>
            </w:r>
          </w:p>
        </w:tc>
        <w:tc>
          <w:tcPr>
            <w:tcW w:w="3111" w:type="dxa"/>
            <w:gridSpan w:val="2"/>
            <w:tcBorders/>
            <w:vAlign w:val="center"/>
          </w:tcPr>
          <w:p>
            <w:pPr>
              <w:pStyle w:val="TableContents"/>
              <w:bidi w:val="0"/>
              <w:spacing w:before="0" w:after="283"/>
              <w:jc w:val="left"/>
              <w:rPr>
                <w:sz w:val="4"/>
                <w:szCs w:val="4"/>
              </w:rPr>
            </w:pPr>
            <w:r>
              <w:rPr>
                <w:sz w:val="4"/>
                <w:szCs w:val="4"/>
              </w:rPr>
            </w:r>
          </w:p>
        </w:tc>
      </w:tr>
      <w:tr>
        <w:trPr/>
        <w:tc>
          <w:tcPr>
            <w:tcW w:w="97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971" w:type="dxa"/>
            <w:tcBorders/>
          </w:tcPr>
          <w:p>
            <w:pPr>
              <w:pStyle w:val="TableContents"/>
              <w:bidi w:val="0"/>
              <w:spacing w:before="0" w:after="283"/>
              <w:jc w:val="left"/>
              <w:rPr/>
            </w:pPr>
            <w:r>
              <w:rPr/>
              <w:t>Name:</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r>
        <w:trPr/>
        <w:tc>
          <w:tcPr>
            <w:tcW w:w="971" w:type="dxa"/>
            <w:tcBorders/>
          </w:tcPr>
          <w:p>
            <w:pPr>
              <w:pStyle w:val="TableContents"/>
              <w:bidi w:val="0"/>
              <w:spacing w:before="0" w:after="283"/>
              <w:jc w:val="left"/>
              <w:rPr/>
            </w:pPr>
            <w:r>
              <w:rPr/>
              <w:t>Title:</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Backstop Party will submit a consent to entry into the A&amp;R Indenture: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Aldasco Florida Associates LLC</w:t>
            </w:r>
          </w:p>
        </w:tc>
      </w:tr>
      <w:tr>
        <w:trPr>
          <w:trHeight w:val="240" w:hRule="atLeast"/>
        </w:trPr>
        <w:tc>
          <w:tcPr>
            <w:tcW w:w="971" w:type="dxa"/>
            <w:tcBorders/>
            <w:vAlign w:val="center"/>
          </w:tcPr>
          <w:p>
            <w:pPr>
              <w:pStyle w:val="TableContents"/>
              <w:bidi w:val="0"/>
              <w:spacing w:before="0" w:after="283"/>
              <w:jc w:val="left"/>
              <w:rPr>
                <w:sz w:val="4"/>
                <w:szCs w:val="4"/>
              </w:rPr>
            </w:pPr>
            <w:r>
              <w:rPr>
                <w:sz w:val="4"/>
                <w:szCs w:val="4"/>
              </w:rPr>
            </w:r>
          </w:p>
        </w:tc>
        <w:tc>
          <w:tcPr>
            <w:tcW w:w="3111" w:type="dxa"/>
            <w:gridSpan w:val="2"/>
            <w:tcBorders/>
            <w:vAlign w:val="center"/>
          </w:tcPr>
          <w:p>
            <w:pPr>
              <w:pStyle w:val="TableContents"/>
              <w:bidi w:val="0"/>
              <w:spacing w:before="0" w:after="283"/>
              <w:jc w:val="left"/>
              <w:rPr>
                <w:sz w:val="4"/>
                <w:szCs w:val="4"/>
              </w:rPr>
            </w:pPr>
            <w:r>
              <w:rPr>
                <w:sz w:val="4"/>
                <w:szCs w:val="4"/>
              </w:rPr>
            </w:r>
          </w:p>
        </w:tc>
      </w:tr>
      <w:tr>
        <w:trPr/>
        <w:tc>
          <w:tcPr>
            <w:tcW w:w="97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971" w:type="dxa"/>
            <w:tcBorders/>
          </w:tcPr>
          <w:p>
            <w:pPr>
              <w:pStyle w:val="TableContents"/>
              <w:bidi w:val="0"/>
              <w:spacing w:before="0" w:after="283"/>
              <w:jc w:val="left"/>
              <w:rPr/>
            </w:pPr>
            <w:r>
              <w:rPr/>
              <w:t>Name:</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r>
        <w:trPr/>
        <w:tc>
          <w:tcPr>
            <w:tcW w:w="971" w:type="dxa"/>
            <w:tcBorders/>
          </w:tcPr>
          <w:p>
            <w:pPr>
              <w:pStyle w:val="TableContents"/>
              <w:bidi w:val="0"/>
              <w:spacing w:before="0" w:after="283"/>
              <w:jc w:val="left"/>
              <w:rPr/>
            </w:pPr>
            <w:r>
              <w:rPr/>
              <w:t>Title:</w:t>
            </w:r>
          </w:p>
        </w:tc>
        <w:tc>
          <w:tcPr>
            <w:tcW w:w="82"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1188"/>
        <w:gridCol w:w="110"/>
        <w:gridCol w:w="2784"/>
      </w:tblGrid>
      <w:tr>
        <w:trPr/>
        <w:tc>
          <w:tcPr>
            <w:tcW w:w="118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EACH ENTITY LISTED ON APPENDIX A – PART 1 HERETO, EACH SEVERALLY AND NOT JOINTLY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Fidelity Investments Canada ULC, its Manager</w:t>
            </w:r>
          </w:p>
        </w:tc>
      </w:tr>
      <w:tr>
        <w:trPr>
          <w:trHeight w:val="240" w:hRule="atLeast"/>
        </w:trPr>
        <w:tc>
          <w:tcPr>
            <w:tcW w:w="1188" w:type="dxa"/>
            <w:tcBorders/>
            <w:vAlign w:val="center"/>
          </w:tcPr>
          <w:p>
            <w:pPr>
              <w:pStyle w:val="TableContents"/>
              <w:bidi w:val="0"/>
              <w:spacing w:before="0" w:after="283"/>
              <w:jc w:val="left"/>
              <w:rPr>
                <w:sz w:val="4"/>
                <w:szCs w:val="4"/>
              </w:rPr>
            </w:pPr>
            <w:r>
              <w:rPr>
                <w:sz w:val="4"/>
                <w:szCs w:val="4"/>
              </w:rPr>
            </w:r>
          </w:p>
        </w:tc>
        <w:tc>
          <w:tcPr>
            <w:tcW w:w="2894" w:type="dxa"/>
            <w:gridSpan w:val="2"/>
            <w:tcBorders/>
            <w:vAlign w:val="center"/>
          </w:tcPr>
          <w:p>
            <w:pPr>
              <w:pStyle w:val="TableContents"/>
              <w:bidi w:val="0"/>
              <w:spacing w:before="0" w:after="283"/>
              <w:jc w:val="left"/>
              <w:rPr>
                <w:sz w:val="4"/>
                <w:szCs w:val="4"/>
              </w:rPr>
            </w:pPr>
            <w:r>
              <w:rPr>
                <w:sz w:val="4"/>
                <w:szCs w:val="4"/>
              </w:rPr>
            </w:r>
          </w:p>
        </w:tc>
      </w:tr>
      <w:tr>
        <w:trPr/>
        <w:tc>
          <w:tcPr>
            <w:tcW w:w="1188"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1188" w:type="dxa"/>
            <w:tcBorders/>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bidi w:val="0"/>
              <w:spacing w:before="0" w:after="283"/>
              <w:jc w:val="left"/>
              <w:rPr/>
            </w:pPr>
            <w:r>
              <w:rPr/>
              <w:t>[*]</w:t>
            </w:r>
          </w:p>
        </w:tc>
      </w:tr>
      <w:tr>
        <w:trPr/>
        <w:tc>
          <w:tcPr>
            <w:tcW w:w="1188" w:type="dxa"/>
            <w:tcBorders/>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EACH ENTITY LISTED ON APPENDIX A – PART 2 HERETO, EACH SEVERALLY AND NOT JOINTLY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FIAM LLC, as Investment Manager, Sub-Advisor or as otherwise authorized</w:t>
            </w:r>
          </w:p>
        </w:tc>
      </w:tr>
      <w:tr>
        <w:trPr>
          <w:trHeight w:val="240" w:hRule="atLeast"/>
        </w:trPr>
        <w:tc>
          <w:tcPr>
            <w:tcW w:w="1188" w:type="dxa"/>
            <w:tcBorders/>
            <w:vAlign w:val="center"/>
          </w:tcPr>
          <w:p>
            <w:pPr>
              <w:pStyle w:val="TableContents"/>
              <w:bidi w:val="0"/>
              <w:spacing w:before="0" w:after="283"/>
              <w:jc w:val="left"/>
              <w:rPr>
                <w:sz w:val="4"/>
                <w:szCs w:val="4"/>
              </w:rPr>
            </w:pPr>
            <w:r>
              <w:rPr>
                <w:sz w:val="4"/>
                <w:szCs w:val="4"/>
              </w:rPr>
            </w:r>
          </w:p>
        </w:tc>
        <w:tc>
          <w:tcPr>
            <w:tcW w:w="2894" w:type="dxa"/>
            <w:gridSpan w:val="2"/>
            <w:tcBorders/>
            <w:vAlign w:val="center"/>
          </w:tcPr>
          <w:p>
            <w:pPr>
              <w:pStyle w:val="TableContents"/>
              <w:bidi w:val="0"/>
              <w:spacing w:before="0" w:after="283"/>
              <w:jc w:val="left"/>
              <w:rPr>
                <w:sz w:val="4"/>
                <w:szCs w:val="4"/>
              </w:rPr>
            </w:pPr>
            <w:r>
              <w:rPr>
                <w:sz w:val="4"/>
                <w:szCs w:val="4"/>
              </w:rPr>
            </w:r>
          </w:p>
        </w:tc>
      </w:tr>
      <w:tr>
        <w:trPr/>
        <w:tc>
          <w:tcPr>
            <w:tcW w:w="1188"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1188" w:type="dxa"/>
            <w:tcBorders/>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bidi w:val="0"/>
              <w:spacing w:before="0" w:after="283"/>
              <w:jc w:val="left"/>
              <w:rPr/>
            </w:pPr>
            <w:r>
              <w:rPr/>
              <w:t>[*]</w:t>
            </w:r>
          </w:p>
        </w:tc>
      </w:tr>
      <w:tr>
        <w:trPr/>
        <w:tc>
          <w:tcPr>
            <w:tcW w:w="1188" w:type="dxa"/>
            <w:tcBorders/>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EACH ENTITY LISTED ON APPENDIX A – PART 3 HERETO, EACH SEVERALLY AND NOT JOINTLY</w:t>
            </w:r>
          </w:p>
        </w:tc>
      </w:tr>
      <w:tr>
        <w:trPr>
          <w:trHeight w:val="240" w:hRule="atLeast"/>
        </w:trPr>
        <w:tc>
          <w:tcPr>
            <w:tcW w:w="1188" w:type="dxa"/>
            <w:tcBorders/>
            <w:vAlign w:val="center"/>
          </w:tcPr>
          <w:p>
            <w:pPr>
              <w:pStyle w:val="TableContents"/>
              <w:bidi w:val="0"/>
              <w:spacing w:before="0" w:after="283"/>
              <w:jc w:val="left"/>
              <w:rPr>
                <w:sz w:val="4"/>
                <w:szCs w:val="4"/>
              </w:rPr>
            </w:pPr>
            <w:r>
              <w:rPr>
                <w:sz w:val="4"/>
                <w:szCs w:val="4"/>
              </w:rPr>
            </w:r>
          </w:p>
        </w:tc>
        <w:tc>
          <w:tcPr>
            <w:tcW w:w="2894" w:type="dxa"/>
            <w:gridSpan w:val="2"/>
            <w:tcBorders/>
            <w:vAlign w:val="center"/>
          </w:tcPr>
          <w:p>
            <w:pPr>
              <w:pStyle w:val="TableContents"/>
              <w:bidi w:val="0"/>
              <w:spacing w:before="0" w:after="283"/>
              <w:jc w:val="left"/>
              <w:rPr>
                <w:sz w:val="4"/>
                <w:szCs w:val="4"/>
              </w:rPr>
            </w:pPr>
            <w:r>
              <w:rPr>
                <w:sz w:val="4"/>
                <w:szCs w:val="4"/>
              </w:rPr>
            </w:r>
          </w:p>
        </w:tc>
      </w:tr>
      <w:tr>
        <w:trPr/>
        <w:tc>
          <w:tcPr>
            <w:tcW w:w="1188"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c>
          <w:tcPr>
            <w:tcW w:w="1188" w:type="dxa"/>
            <w:tcBorders/>
          </w:tcPr>
          <w:p>
            <w:pPr>
              <w:pStyle w:val="TableContents"/>
              <w:bidi w:val="0"/>
              <w:spacing w:before="0" w:after="283"/>
              <w:jc w:val="left"/>
              <w:rPr/>
            </w:pPr>
            <w:r>
              <w:rPr/>
              <w:t>Name:</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bidi w:val="0"/>
              <w:spacing w:before="0" w:after="283"/>
              <w:jc w:val="left"/>
              <w:rPr/>
            </w:pPr>
            <w:r>
              <w:rPr/>
              <w:t>[*]</w:t>
            </w:r>
          </w:p>
        </w:tc>
      </w:tr>
      <w:tr>
        <w:trPr/>
        <w:tc>
          <w:tcPr>
            <w:tcW w:w="1188" w:type="dxa"/>
            <w:tcBorders/>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2784" w:type="dxa"/>
            <w:tcBorders/>
          </w:tcPr>
          <w:p>
            <w:pPr>
              <w:pStyle w:val="TableContents"/>
              <w:bidi w:val="0"/>
              <w:spacing w:before="0" w:after="283"/>
              <w:jc w:val="left"/>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 Agreement to the contrary, each above signed entity is executing this Agreement solely on behalf of the funds and accounts indicated on the corresponding Appendix listed in its signature block and only such funds and accounts shall be Parties hereunder and the obligations, covenants, representations, warranties and other provisions of this Agreement </w:t>
            </w:r>
            <w:r>
              <w:rPr>
                <w:rFonts w:ascii="Times New Roman" w:hAnsi="Times New Roman"/>
                <w:b/>
                <w:sz w:val="20"/>
              </w:rPr>
              <w:t xml:space="preserve">(including any schedules, exhibits and annexes thereto) </w:t>
            </w:r>
            <w:r>
              <w:rPr>
                <w:rFonts w:ascii="Times New Roman" w:hAnsi="Times New Roman"/>
                <w:sz w:val="20"/>
              </w:rPr>
              <w:t xml:space="preserve">shall only apply to such funds and accounts severally and not jointly and shall not apply to any investment advisor signing on behalf of any funds or accounts or any funds or accounts managed or advised by such investment advisor that are not listed on an Appendix hereto or other Affiliates of any above signed entity. Execution of this Agreement by the above signed entity shall not, and shall not be deemed to, bind or inure to the benefit of any other Affiliates of such entity. This signature page has been executed and delivered solely in reliance on the foregoing limitations*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240" w:after="0"/>
        <w:jc w:val="left"/>
        <w:rPr>
          <w:rFonts w:ascii="Times New Roman" w:hAnsi="Times New Roman"/>
          <w:b/>
          <w:sz w:val="20"/>
        </w:rPr>
      </w:pPr>
      <w:r>
        <w:rPr>
          <w:rFonts w:ascii="Times New Roman" w:hAnsi="Times New Roman"/>
          <w:b/>
          <w:sz w:val="20"/>
        </w:rPr>
        <w:t xml:space="preserve">PART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6"/>
        <w:gridCol w:w="680"/>
        <w:gridCol w:w="1115"/>
        <w:gridCol w:w="622"/>
        <w:gridCol w:w="2672"/>
      </w:tblGrid>
      <w:tr>
        <w:trPr/>
        <w:tc>
          <w:tcPr>
            <w:tcW w:w="5116" w:type="dxa"/>
            <w:tcBorders/>
            <w:vAlign w:val="center"/>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Fund Legal Name</w:t>
            </w:r>
          </w:p>
        </w:tc>
        <w:tc>
          <w:tcPr>
            <w:tcW w:w="680" w:type="dxa"/>
            <w:tcBorders/>
            <w:vAlign w:val="bottom"/>
          </w:tcPr>
          <w:p>
            <w:pPr>
              <w:pStyle w:val="TableContents"/>
              <w:bidi w:val="0"/>
              <w:spacing w:before="0" w:after="283"/>
              <w:jc w:val="left"/>
              <w:rPr/>
            </w:pPr>
            <w:r>
              <w:rPr/>
              <w:t>  </w:t>
            </w:r>
          </w:p>
        </w:tc>
        <w:tc>
          <w:tcPr>
            <w:tcW w:w="1115" w:type="dxa"/>
            <w:tcBorders>
              <w:bottom w:val="single" w:sz="8" w:space="0" w:color="000000"/>
            </w:tcBorders>
            <w:tcMar>
              <w:bottom w:w="28" w:type="dxa"/>
            </w:tcMar>
            <w:vAlign w:val="bottom"/>
          </w:tcPr>
          <w:p>
            <w:pPr>
              <w:pStyle w:val="TableContents"/>
              <w:bidi w:val="0"/>
              <w:spacing w:before="0" w:after="283"/>
              <w:jc w:val="center"/>
              <w:rPr>
                <w:b/>
              </w:rPr>
            </w:pPr>
            <w:r>
              <w:rPr>
                <w:b/>
              </w:rPr>
              <w:t>Fidelity ID</w:t>
            </w:r>
          </w:p>
        </w:tc>
        <w:tc>
          <w:tcPr>
            <w:tcW w:w="622" w:type="dxa"/>
            <w:tcBorders/>
            <w:vAlign w:val="bottom"/>
          </w:tcPr>
          <w:p>
            <w:pPr>
              <w:pStyle w:val="TableContents"/>
              <w:bidi w:val="0"/>
              <w:spacing w:before="0" w:after="283"/>
              <w:jc w:val="left"/>
              <w:rPr/>
            </w:pPr>
            <w:r>
              <w:rPr/>
              <w:t> </w:t>
            </w:r>
          </w:p>
        </w:tc>
        <w:tc>
          <w:tcPr>
            <w:tcW w:w="2672" w:type="dxa"/>
            <w:tcBorders>
              <w:bottom w:val="single" w:sz="8" w:space="0" w:color="000000"/>
            </w:tcBorders>
            <w:tcMar>
              <w:bottom w:w="28" w:type="dxa"/>
            </w:tcMar>
            <w:vAlign w:val="bottom"/>
          </w:tcPr>
          <w:p>
            <w:pPr>
              <w:pStyle w:val="TableContents"/>
              <w:bidi w:val="0"/>
              <w:spacing w:before="0" w:after="283"/>
              <w:jc w:val="center"/>
              <w:rPr>
                <w:b/>
              </w:rPr>
            </w:pPr>
            <w:r>
              <w:rPr>
                <w:b/>
              </w:rPr>
              <w:t>Principal Amount of 2030</w:t>
              <w:br/>
              <w:t>Notes</w:t>
            </w:r>
          </w:p>
        </w:tc>
      </w:tr>
      <w:tr>
        <w:trPr/>
        <w:tc>
          <w:tcPr>
            <w:tcW w:w="51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Fidelity American High Yield Multi-Asset Base Fund</w:t>
            </w:r>
          </w:p>
        </w:tc>
        <w:tc>
          <w:tcPr>
            <w:tcW w:w="68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w:t>
            </w:r>
          </w:p>
        </w:tc>
        <w:tc>
          <w:tcPr>
            <w:tcW w:w="622" w:type="dxa"/>
            <w:tcBorders/>
            <w:shd w:fill="CCEEFF" w:val="clear"/>
            <w:vAlign w:val="bottom"/>
          </w:tcPr>
          <w:p>
            <w:pPr>
              <w:pStyle w:val="TableContents"/>
              <w:bidi w:val="0"/>
              <w:spacing w:before="0" w:after="283"/>
              <w:jc w:val="left"/>
              <w:rPr/>
            </w:pPr>
            <w:r>
              <w:rPr/>
              <w:t> </w:t>
            </w:r>
          </w:p>
        </w:tc>
        <w:tc>
          <w:tcPr>
            <w:tcW w:w="2672" w:type="dxa"/>
            <w:tcBorders/>
            <w:shd w:fill="CCEEFF" w:val="clear"/>
            <w:vAlign w:val="bottom"/>
          </w:tcPr>
          <w:p>
            <w:pPr>
              <w:pStyle w:val="TableContents"/>
              <w:bidi w:val="0"/>
              <w:spacing w:before="0" w:after="283"/>
              <w:jc w:val="center"/>
              <w:rPr/>
            </w:pPr>
            <w:r>
              <w:rPr/>
              <w:t>$[*]</w:t>
            </w:r>
          </w:p>
        </w:tc>
      </w:tr>
      <w:tr>
        <w:trPr/>
        <w:tc>
          <w:tcPr>
            <w:tcW w:w="51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Fidelity American High Yield Fund</w:t>
            </w:r>
          </w:p>
        </w:tc>
        <w:tc>
          <w:tcPr>
            <w:tcW w:w="68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622" w:type="dxa"/>
            <w:tcBorders/>
            <w:vAlign w:val="bottom"/>
          </w:tcPr>
          <w:p>
            <w:pPr>
              <w:pStyle w:val="TableContents"/>
              <w:bidi w:val="0"/>
              <w:spacing w:before="0" w:after="283"/>
              <w:jc w:val="left"/>
              <w:rPr/>
            </w:pPr>
            <w:r>
              <w:rPr/>
              <w:t> </w:t>
            </w:r>
          </w:p>
        </w:tc>
        <w:tc>
          <w:tcPr>
            <w:tcW w:w="2672" w:type="dxa"/>
            <w:tcBorders/>
            <w:vAlign w:val="bottom"/>
          </w:tcPr>
          <w:p>
            <w:pPr>
              <w:pStyle w:val="TableContents"/>
              <w:bidi w:val="0"/>
              <w:spacing w:before="0" w:after="283"/>
              <w:jc w:val="center"/>
              <w:rPr/>
            </w:pPr>
            <w:r>
              <w:rPr/>
              <w:t>$[*]</w:t>
            </w:r>
          </w:p>
        </w:tc>
      </w:tr>
      <w:tr>
        <w:trPr/>
        <w:tc>
          <w:tcPr>
            <w:tcW w:w="51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Fidelity U.S. High Yield Institutional Trust</w:t>
            </w:r>
          </w:p>
        </w:tc>
        <w:tc>
          <w:tcPr>
            <w:tcW w:w="68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w:t>
            </w:r>
          </w:p>
        </w:tc>
        <w:tc>
          <w:tcPr>
            <w:tcW w:w="622" w:type="dxa"/>
            <w:tcBorders/>
            <w:shd w:fill="CCEEFF" w:val="clear"/>
            <w:vAlign w:val="bottom"/>
          </w:tcPr>
          <w:p>
            <w:pPr>
              <w:pStyle w:val="TableContents"/>
              <w:bidi w:val="0"/>
              <w:spacing w:before="0" w:after="283"/>
              <w:jc w:val="left"/>
              <w:rPr/>
            </w:pPr>
            <w:r>
              <w:rPr/>
              <w:t> </w:t>
            </w:r>
          </w:p>
        </w:tc>
        <w:tc>
          <w:tcPr>
            <w:tcW w:w="2672" w:type="dxa"/>
            <w:tcBorders/>
            <w:shd w:fill="CCEEFF" w:val="clear"/>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PART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6"/>
        <w:gridCol w:w="680"/>
        <w:gridCol w:w="1115"/>
        <w:gridCol w:w="622"/>
        <w:gridCol w:w="2672"/>
      </w:tblGrid>
      <w:tr>
        <w:trPr/>
        <w:tc>
          <w:tcPr>
            <w:tcW w:w="5116" w:type="dxa"/>
            <w:tcBorders/>
            <w:vAlign w:val="center"/>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Fund Legal Name</w:t>
            </w:r>
          </w:p>
        </w:tc>
        <w:tc>
          <w:tcPr>
            <w:tcW w:w="680" w:type="dxa"/>
            <w:tcBorders/>
            <w:vAlign w:val="bottom"/>
          </w:tcPr>
          <w:p>
            <w:pPr>
              <w:pStyle w:val="TableContents"/>
              <w:bidi w:val="0"/>
              <w:spacing w:before="0" w:after="283"/>
              <w:jc w:val="left"/>
              <w:rPr/>
            </w:pPr>
            <w:r>
              <w:rPr/>
              <w:t>  </w:t>
            </w:r>
          </w:p>
        </w:tc>
        <w:tc>
          <w:tcPr>
            <w:tcW w:w="1115" w:type="dxa"/>
            <w:tcBorders>
              <w:bottom w:val="single" w:sz="8" w:space="0" w:color="000000"/>
            </w:tcBorders>
            <w:tcMar>
              <w:bottom w:w="28" w:type="dxa"/>
            </w:tcMar>
            <w:vAlign w:val="bottom"/>
          </w:tcPr>
          <w:p>
            <w:pPr>
              <w:pStyle w:val="TableContents"/>
              <w:bidi w:val="0"/>
              <w:spacing w:before="0" w:after="283"/>
              <w:jc w:val="center"/>
              <w:rPr>
                <w:b/>
              </w:rPr>
            </w:pPr>
            <w:r>
              <w:rPr>
                <w:b/>
              </w:rPr>
              <w:t>Fidelity ID</w:t>
            </w:r>
          </w:p>
        </w:tc>
        <w:tc>
          <w:tcPr>
            <w:tcW w:w="622" w:type="dxa"/>
            <w:tcBorders/>
            <w:vAlign w:val="bottom"/>
          </w:tcPr>
          <w:p>
            <w:pPr>
              <w:pStyle w:val="TableContents"/>
              <w:bidi w:val="0"/>
              <w:spacing w:before="0" w:after="283"/>
              <w:jc w:val="left"/>
              <w:rPr/>
            </w:pPr>
            <w:r>
              <w:rPr/>
              <w:t> </w:t>
            </w:r>
          </w:p>
        </w:tc>
        <w:tc>
          <w:tcPr>
            <w:tcW w:w="2672" w:type="dxa"/>
            <w:tcBorders>
              <w:bottom w:val="single" w:sz="8" w:space="0" w:color="000000"/>
            </w:tcBorders>
            <w:tcMar>
              <w:bottom w:w="28" w:type="dxa"/>
            </w:tcMar>
            <w:vAlign w:val="bottom"/>
          </w:tcPr>
          <w:p>
            <w:pPr>
              <w:pStyle w:val="TableContents"/>
              <w:bidi w:val="0"/>
              <w:spacing w:before="0" w:after="283"/>
              <w:jc w:val="center"/>
              <w:rPr>
                <w:b/>
              </w:rPr>
            </w:pPr>
            <w:r>
              <w:rPr>
                <w:b/>
              </w:rPr>
              <w:t>Principal Amount of 2030</w:t>
              <w:br/>
              <w:t>Notes</w:t>
            </w:r>
          </w:p>
        </w:tc>
      </w:tr>
      <w:tr>
        <w:trPr/>
        <w:tc>
          <w:tcPr>
            <w:tcW w:w="51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Fidelity Strategic Income Mother Fund</w:t>
            </w:r>
          </w:p>
        </w:tc>
        <w:tc>
          <w:tcPr>
            <w:tcW w:w="68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w:t>
            </w:r>
          </w:p>
        </w:tc>
        <w:tc>
          <w:tcPr>
            <w:tcW w:w="622" w:type="dxa"/>
            <w:tcBorders/>
            <w:shd w:fill="CCEEFF" w:val="clear"/>
            <w:vAlign w:val="bottom"/>
          </w:tcPr>
          <w:p>
            <w:pPr>
              <w:pStyle w:val="TableContents"/>
              <w:bidi w:val="0"/>
              <w:spacing w:before="0" w:after="283"/>
              <w:jc w:val="left"/>
              <w:rPr/>
            </w:pPr>
            <w:r>
              <w:rPr/>
              <w:t> </w:t>
            </w:r>
          </w:p>
        </w:tc>
        <w:tc>
          <w:tcPr>
            <w:tcW w:w="2672" w:type="dxa"/>
            <w:tcBorders/>
            <w:shd w:fill="CCEEFF" w:val="clear"/>
            <w:vAlign w:val="bottom"/>
          </w:tcPr>
          <w:p>
            <w:pPr>
              <w:pStyle w:val="TableContents"/>
              <w:bidi w:val="0"/>
              <w:spacing w:before="0" w:after="283"/>
              <w:jc w:val="center"/>
              <w:rPr/>
            </w:pPr>
            <w:r>
              <w:rPr/>
              <w:t>$[*]</w:t>
            </w:r>
          </w:p>
        </w:tc>
      </w:tr>
      <w:tr>
        <w:trPr/>
        <w:tc>
          <w:tcPr>
            <w:tcW w:w="51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Master Trust Bank of Japan Ltd. Re: Fidelity US High Yield Open Mother Fund</w:t>
            </w:r>
          </w:p>
        </w:tc>
        <w:tc>
          <w:tcPr>
            <w:tcW w:w="68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center"/>
              <w:rPr/>
            </w:pPr>
            <w:r>
              <w:rPr/>
              <w:t>[*]</w:t>
            </w:r>
          </w:p>
        </w:tc>
        <w:tc>
          <w:tcPr>
            <w:tcW w:w="622" w:type="dxa"/>
            <w:tcBorders/>
            <w:vAlign w:val="bottom"/>
          </w:tcPr>
          <w:p>
            <w:pPr>
              <w:pStyle w:val="TableContents"/>
              <w:bidi w:val="0"/>
              <w:spacing w:before="0" w:after="283"/>
              <w:jc w:val="left"/>
              <w:rPr/>
            </w:pPr>
            <w:r>
              <w:rPr/>
              <w:t> </w:t>
            </w:r>
          </w:p>
        </w:tc>
        <w:tc>
          <w:tcPr>
            <w:tcW w:w="2672" w:type="dxa"/>
            <w:tcBorders/>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PART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6"/>
        <w:gridCol w:w="680"/>
        <w:gridCol w:w="1115"/>
        <w:gridCol w:w="622"/>
        <w:gridCol w:w="2672"/>
      </w:tblGrid>
      <w:tr>
        <w:trPr/>
        <w:tc>
          <w:tcPr>
            <w:tcW w:w="5116" w:type="dxa"/>
            <w:tcBorders/>
            <w:vAlign w:val="center"/>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Fund Legal Name</w:t>
            </w:r>
          </w:p>
        </w:tc>
        <w:tc>
          <w:tcPr>
            <w:tcW w:w="680" w:type="dxa"/>
            <w:tcBorders/>
            <w:vAlign w:val="bottom"/>
          </w:tcPr>
          <w:p>
            <w:pPr>
              <w:pStyle w:val="TableContents"/>
              <w:bidi w:val="0"/>
              <w:spacing w:before="0" w:after="283"/>
              <w:jc w:val="left"/>
              <w:rPr/>
            </w:pPr>
            <w:r>
              <w:rPr/>
              <w:t>  </w:t>
            </w:r>
          </w:p>
        </w:tc>
        <w:tc>
          <w:tcPr>
            <w:tcW w:w="1115" w:type="dxa"/>
            <w:tcBorders>
              <w:bottom w:val="single" w:sz="8" w:space="0" w:color="000000"/>
            </w:tcBorders>
            <w:tcMar>
              <w:bottom w:w="28" w:type="dxa"/>
            </w:tcMar>
            <w:vAlign w:val="bottom"/>
          </w:tcPr>
          <w:p>
            <w:pPr>
              <w:pStyle w:val="TableContents"/>
              <w:bidi w:val="0"/>
              <w:spacing w:before="0" w:after="283"/>
              <w:jc w:val="center"/>
              <w:rPr>
                <w:b/>
              </w:rPr>
            </w:pPr>
            <w:r>
              <w:rPr>
                <w:b/>
              </w:rPr>
              <w:t>Fidelity ID</w:t>
            </w:r>
          </w:p>
        </w:tc>
        <w:tc>
          <w:tcPr>
            <w:tcW w:w="622" w:type="dxa"/>
            <w:tcBorders/>
            <w:vAlign w:val="bottom"/>
          </w:tcPr>
          <w:p>
            <w:pPr>
              <w:pStyle w:val="TableContents"/>
              <w:bidi w:val="0"/>
              <w:spacing w:before="0" w:after="283"/>
              <w:jc w:val="left"/>
              <w:rPr/>
            </w:pPr>
            <w:r>
              <w:rPr/>
              <w:t> </w:t>
            </w:r>
          </w:p>
        </w:tc>
        <w:tc>
          <w:tcPr>
            <w:tcW w:w="2672" w:type="dxa"/>
            <w:tcBorders>
              <w:bottom w:val="single" w:sz="8" w:space="0" w:color="000000"/>
            </w:tcBorders>
            <w:tcMar>
              <w:bottom w:w="28" w:type="dxa"/>
            </w:tcMar>
            <w:vAlign w:val="bottom"/>
          </w:tcPr>
          <w:p>
            <w:pPr>
              <w:pStyle w:val="TableContents"/>
              <w:bidi w:val="0"/>
              <w:spacing w:before="0" w:after="283"/>
              <w:jc w:val="center"/>
              <w:rPr>
                <w:b/>
              </w:rPr>
            </w:pPr>
            <w:r>
              <w:rPr>
                <w:b/>
              </w:rPr>
              <w:t>Principal Amount of 2030</w:t>
              <w:br/>
              <w:t>Notes</w:t>
            </w:r>
          </w:p>
        </w:tc>
      </w:tr>
      <w:tr>
        <w:trPr/>
        <w:tc>
          <w:tcPr>
            <w:tcW w:w="51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Fidelity Central Investment Portfolios LLC: Fidelity High Income Central Fund</w:t>
            </w:r>
          </w:p>
        </w:tc>
        <w:tc>
          <w:tcPr>
            <w:tcW w:w="68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center"/>
              <w:rPr/>
            </w:pPr>
            <w:r>
              <w:rPr/>
              <w:t>[*]</w:t>
            </w:r>
          </w:p>
        </w:tc>
        <w:tc>
          <w:tcPr>
            <w:tcW w:w="622" w:type="dxa"/>
            <w:tcBorders/>
            <w:shd w:fill="CCEEFF" w:val="clear"/>
            <w:vAlign w:val="bottom"/>
          </w:tcPr>
          <w:p>
            <w:pPr>
              <w:pStyle w:val="TableContents"/>
              <w:bidi w:val="0"/>
              <w:spacing w:before="0" w:after="283"/>
              <w:jc w:val="left"/>
              <w:rPr/>
            </w:pPr>
            <w:r>
              <w:rPr/>
              <w:t> </w:t>
            </w:r>
          </w:p>
        </w:tc>
        <w:tc>
          <w:tcPr>
            <w:tcW w:w="2672" w:type="dxa"/>
            <w:tcBorders/>
            <w:shd w:fill="CCEEFF" w:val="clear"/>
            <w:vAlign w:val="bottom"/>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Rights Offering Backstop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Address of Backstop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47"/>
        <w:gridCol w:w="122"/>
        <w:gridCol w:w="6136"/>
      </w:tblGrid>
      <w:tr>
        <w:trPr/>
        <w:tc>
          <w:tcPr>
            <w:tcW w:w="39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39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Backstop Party</w:t>
            </w:r>
          </w:p>
        </w:tc>
        <w:tc>
          <w:tcPr>
            <w:tcW w:w="122" w:type="dxa"/>
            <w:tcBorders/>
            <w:vAlign w:val="bottom"/>
          </w:tcPr>
          <w:p>
            <w:pPr>
              <w:pStyle w:val="TableContents"/>
              <w:bidi w:val="0"/>
              <w:spacing w:before="0" w:after="283"/>
              <w:jc w:val="left"/>
              <w:rPr/>
            </w:pPr>
            <w:r>
              <w:rPr/>
              <w:t>  </w:t>
            </w:r>
          </w:p>
        </w:tc>
        <w:tc>
          <w:tcPr>
            <w:tcW w:w="6136"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Notice Address</w:t>
            </w:r>
          </w:p>
        </w:tc>
      </w:tr>
      <w:tr>
        <w:trPr/>
        <w:tc>
          <w:tcPr>
            <w:tcW w:w="3947" w:type="dxa"/>
            <w:tcBorders/>
          </w:tcPr>
          <w:p>
            <w:pPr>
              <w:pStyle w:val="TableContents"/>
              <w:bidi w:val="0"/>
              <w:spacing w:before="0" w:after="20"/>
              <w:jc w:val="left"/>
              <w:rPr>
                <w:rFonts w:ascii="Times New Roman" w:hAnsi="Times New Roman"/>
                <w:sz w:val="20"/>
              </w:rPr>
            </w:pPr>
            <w:r>
              <w:rPr>
                <w:rFonts w:ascii="Times New Roman" w:hAnsi="Times New Roman"/>
                <w:sz w:val="20"/>
              </w:rPr>
              <w:t>CROSS OCEAN PARTNERS MANAGEMENT LP,</w:t>
              <w:br/>
              <w:t>on behalf of certain of its respective advised funds</w:t>
            </w:r>
          </w:p>
        </w:tc>
        <w:tc>
          <w:tcPr>
            <w:tcW w:w="122" w:type="dxa"/>
            <w:tcBorders/>
            <w:vAlign w:val="bottom"/>
          </w:tcPr>
          <w:p>
            <w:pPr>
              <w:pStyle w:val="TableContents"/>
              <w:bidi w:val="0"/>
              <w:spacing w:before="0" w:after="283"/>
              <w:jc w:val="left"/>
              <w:rPr/>
            </w:pPr>
            <w:r>
              <w:rPr/>
              <w:t>  </w:t>
            </w:r>
          </w:p>
        </w:tc>
        <w:tc>
          <w:tcPr>
            <w:tcW w:w="6136"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Attention: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3947" w:type="dxa"/>
            <w:tcBorders/>
            <w:vAlign w:val="center"/>
          </w:tcPr>
          <w:p>
            <w:pPr>
              <w:pStyle w:val="TableContents"/>
              <w:bidi w:val="0"/>
              <w:spacing w:before="0" w:after="283"/>
              <w:jc w:val="left"/>
              <w:rPr>
                <w:sz w:val="4"/>
                <w:szCs w:val="4"/>
              </w:rPr>
            </w:pPr>
            <w:r>
              <w:rPr>
                <w:sz w:val="4"/>
                <w:szCs w:val="4"/>
              </w:rPr>
            </w:r>
          </w:p>
        </w:tc>
        <w:tc>
          <w:tcPr>
            <w:tcW w:w="6258" w:type="dxa"/>
            <w:gridSpan w:val="2"/>
            <w:tcBorders/>
            <w:vAlign w:val="center"/>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283"/>
              <w:jc w:val="left"/>
              <w:rPr/>
            </w:pPr>
            <w:r>
              <w:rPr/>
              <w:t>WHITEBOX ADVISORS LLC,</w:t>
              <w:br/>
              <w:t>on behalf of certain of its respective advised funds</w:t>
            </w:r>
          </w:p>
        </w:tc>
        <w:tc>
          <w:tcPr>
            <w:tcW w:w="122" w:type="dxa"/>
            <w:tcBorders/>
            <w:vAlign w:val="bottom"/>
          </w:tcPr>
          <w:p>
            <w:pPr>
              <w:pStyle w:val="TableContents"/>
              <w:bidi w:val="0"/>
              <w:spacing w:before="0" w:after="283"/>
              <w:jc w:val="left"/>
              <w:rPr/>
            </w:pPr>
            <w:r>
              <w:rPr/>
              <w:t>  </w:t>
            </w:r>
          </w:p>
        </w:tc>
        <w:tc>
          <w:tcPr>
            <w:tcW w:w="6136"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Attention: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3947" w:type="dxa"/>
            <w:tcBorders/>
            <w:vAlign w:val="center"/>
          </w:tcPr>
          <w:p>
            <w:pPr>
              <w:pStyle w:val="TableContents"/>
              <w:bidi w:val="0"/>
              <w:spacing w:before="0" w:after="283"/>
              <w:jc w:val="left"/>
              <w:rPr>
                <w:sz w:val="4"/>
                <w:szCs w:val="4"/>
              </w:rPr>
            </w:pPr>
            <w:r>
              <w:rPr>
                <w:sz w:val="4"/>
                <w:szCs w:val="4"/>
              </w:rPr>
            </w:r>
          </w:p>
        </w:tc>
        <w:tc>
          <w:tcPr>
            <w:tcW w:w="6258" w:type="dxa"/>
            <w:gridSpan w:val="2"/>
            <w:tcBorders/>
            <w:vAlign w:val="center"/>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ALGEBRIS (UK) LIMITED, ACTING SOLELY</w:t>
            </w:r>
          </w:p>
          <w:p>
            <w:pPr>
              <w:pStyle w:val="TableContents"/>
              <w:bidi w:val="0"/>
              <w:spacing w:before="0" w:after="0"/>
              <w:jc w:val="left"/>
              <w:rPr>
                <w:rFonts w:ascii="Times New Roman" w:hAnsi="Times New Roman"/>
                <w:sz w:val="20"/>
              </w:rPr>
            </w:pPr>
            <w:r>
              <w:rPr>
                <w:rFonts w:ascii="Times New Roman" w:hAnsi="Times New Roman"/>
                <w:sz w:val="20"/>
              </w:rPr>
              <w:t>AS AGENT ON BEHALF OF ALGEBRIS UCITS</w:t>
            </w:r>
          </w:p>
          <w:p>
            <w:pPr>
              <w:pStyle w:val="TableContents"/>
              <w:bidi w:val="0"/>
              <w:spacing w:before="0" w:after="0"/>
              <w:jc w:val="left"/>
              <w:rPr>
                <w:rFonts w:ascii="Times New Roman" w:hAnsi="Times New Roman"/>
                <w:sz w:val="20"/>
              </w:rPr>
            </w:pPr>
            <w:r>
              <w:rPr>
                <w:rFonts w:ascii="Times New Roman" w:hAnsi="Times New Roman"/>
                <w:sz w:val="20"/>
              </w:rPr>
              <w:t>FUNDS PLC – ALGEBRIS GLOBAL CREDIT</w:t>
            </w:r>
          </w:p>
          <w:p>
            <w:pPr>
              <w:pStyle w:val="TableContents"/>
              <w:bidi w:val="0"/>
              <w:spacing w:before="0" w:after="20"/>
              <w:jc w:val="left"/>
              <w:rPr>
                <w:rFonts w:ascii="Times New Roman" w:hAnsi="Times New Roman"/>
                <w:sz w:val="20"/>
              </w:rPr>
            </w:pPr>
            <w:r>
              <w:rPr>
                <w:rFonts w:ascii="Times New Roman" w:hAnsi="Times New Roman"/>
                <w:sz w:val="20"/>
              </w:rPr>
              <w:t>OPPORTUNITIES FUND</w:t>
            </w:r>
          </w:p>
        </w:tc>
        <w:tc>
          <w:tcPr>
            <w:tcW w:w="122" w:type="dxa"/>
            <w:tcBorders/>
            <w:vAlign w:val="bottom"/>
          </w:tcPr>
          <w:p>
            <w:pPr>
              <w:pStyle w:val="TableContents"/>
              <w:bidi w:val="0"/>
              <w:spacing w:before="0" w:after="283"/>
              <w:jc w:val="left"/>
              <w:rPr/>
            </w:pPr>
            <w:r>
              <w:rPr/>
              <w:t>  </w:t>
            </w:r>
          </w:p>
        </w:tc>
        <w:tc>
          <w:tcPr>
            <w:tcW w:w="6136"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3947" w:type="dxa"/>
            <w:tcBorders/>
            <w:vAlign w:val="center"/>
          </w:tcPr>
          <w:p>
            <w:pPr>
              <w:pStyle w:val="TableContents"/>
              <w:bidi w:val="0"/>
              <w:spacing w:before="0" w:after="283"/>
              <w:jc w:val="left"/>
              <w:rPr>
                <w:sz w:val="4"/>
                <w:szCs w:val="4"/>
              </w:rPr>
            </w:pPr>
            <w:r>
              <w:rPr>
                <w:sz w:val="4"/>
                <w:szCs w:val="4"/>
              </w:rPr>
            </w:r>
          </w:p>
        </w:tc>
        <w:tc>
          <w:tcPr>
            <w:tcW w:w="6258" w:type="dxa"/>
            <w:gridSpan w:val="2"/>
            <w:tcBorders/>
            <w:vAlign w:val="center"/>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283"/>
              <w:jc w:val="left"/>
              <w:rPr/>
            </w:pPr>
            <w:r>
              <w:rPr/>
              <w:t>AMZAK CAPITAL MANAGEMENT LLC</w:t>
            </w:r>
          </w:p>
        </w:tc>
        <w:tc>
          <w:tcPr>
            <w:tcW w:w="122" w:type="dxa"/>
            <w:tcBorders/>
            <w:vAlign w:val="bottom"/>
          </w:tcPr>
          <w:p>
            <w:pPr>
              <w:pStyle w:val="TableContents"/>
              <w:bidi w:val="0"/>
              <w:spacing w:before="0" w:after="283"/>
              <w:jc w:val="left"/>
              <w:rPr/>
            </w:pPr>
            <w:r>
              <w:rPr/>
              <w:t>  </w:t>
            </w:r>
          </w:p>
        </w:tc>
        <w:tc>
          <w:tcPr>
            <w:tcW w:w="6136"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Attention: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3947" w:type="dxa"/>
            <w:tcBorders/>
            <w:vAlign w:val="center"/>
          </w:tcPr>
          <w:p>
            <w:pPr>
              <w:pStyle w:val="TableContents"/>
              <w:bidi w:val="0"/>
              <w:spacing w:before="0" w:after="283"/>
              <w:jc w:val="left"/>
              <w:rPr>
                <w:sz w:val="4"/>
                <w:szCs w:val="4"/>
              </w:rPr>
            </w:pPr>
            <w:r>
              <w:rPr>
                <w:sz w:val="4"/>
                <w:szCs w:val="4"/>
              </w:rPr>
            </w:r>
          </w:p>
        </w:tc>
        <w:tc>
          <w:tcPr>
            <w:tcW w:w="6258" w:type="dxa"/>
            <w:gridSpan w:val="2"/>
            <w:tcBorders/>
            <w:vAlign w:val="center"/>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FIDELITY AMERICAN HIGH YIELD MULTI-ASSET BASE FUND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FIDELITY AMERICAN HIGH YIELD FUND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FIDELITY U.S. HIGH YIELD INSTITUTIONAL TRUST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FIDELITY STRATEGIC INCOME MOTHER FUND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MASTER TRUST BANK OF JAPAN LTD. RE: FIDELITY US HIGH YIELD OPEN MOTHER FUND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FIDELITY CENTRAL INVESTMENT PORTFOLIOS LLC: FIDELITY HIGH INCOME CENTRAL FUND</w:t>
            </w:r>
          </w:p>
        </w:tc>
        <w:tc>
          <w:tcPr>
            <w:tcW w:w="122" w:type="dxa"/>
            <w:tcBorders/>
            <w:vAlign w:val="bottom"/>
          </w:tcPr>
          <w:p>
            <w:pPr>
              <w:pStyle w:val="TableContents"/>
              <w:bidi w:val="0"/>
              <w:spacing w:before="0" w:after="283"/>
              <w:jc w:val="left"/>
              <w:rPr/>
            </w:pPr>
            <w:r>
              <w:rPr/>
              <w:t>  </w:t>
            </w:r>
          </w:p>
        </w:tc>
        <w:tc>
          <w:tcPr>
            <w:tcW w:w="6136"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Attention: [*]</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945"/>
        <w:gridCol w:w="120"/>
        <w:gridCol w:w="6140"/>
      </w:tblGrid>
      <w:tr>
        <w:trPr/>
        <w:tc>
          <w:tcPr>
            <w:tcW w:w="39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4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945" w:type="dxa"/>
            <w:tcBorders/>
            <w:vAlign w:val="center"/>
          </w:tcPr>
          <w:p>
            <w:pPr>
              <w:pStyle w:val="TableContents"/>
              <w:bidi w:val="0"/>
              <w:spacing w:before="0" w:after="283"/>
              <w:jc w:val="left"/>
              <w:rPr>
                <w:sz w:val="4"/>
                <w:szCs w:val="4"/>
              </w:rPr>
            </w:pPr>
            <w:r>
              <w:rPr>
                <w:sz w:val="4"/>
                <w:szCs w:val="4"/>
              </w:rPr>
            </w:r>
          </w:p>
        </w:tc>
        <w:tc>
          <w:tcPr>
            <w:tcW w:w="6260" w:type="dxa"/>
            <w:gridSpan w:val="2"/>
            <w:tcBorders/>
            <w:vAlign w:val="center"/>
          </w:tcPr>
          <w:p>
            <w:pPr>
              <w:pStyle w:val="TableContents"/>
              <w:bidi w:val="0"/>
              <w:spacing w:before="0" w:after="283"/>
              <w:jc w:val="left"/>
              <w:rPr>
                <w:sz w:val="4"/>
                <w:szCs w:val="4"/>
              </w:rPr>
            </w:pPr>
            <w:r>
              <w:rPr>
                <w:sz w:val="4"/>
                <w:szCs w:val="4"/>
              </w:rPr>
            </w:r>
          </w:p>
        </w:tc>
      </w:tr>
      <w:tr>
        <w:trPr/>
        <w:tc>
          <w:tcPr>
            <w:tcW w:w="3945" w:type="dxa"/>
            <w:tcBorders/>
          </w:tcPr>
          <w:p>
            <w:pPr>
              <w:pStyle w:val="TableContents"/>
              <w:bidi w:val="0"/>
              <w:spacing w:before="0" w:after="283"/>
              <w:jc w:val="left"/>
              <w:rPr/>
            </w:pPr>
            <w:r>
              <w:rPr/>
              <w:t>CONCISE CAPITAL MANAGEMENT, LP</w:t>
            </w:r>
          </w:p>
        </w:tc>
        <w:tc>
          <w:tcPr>
            <w:tcW w:w="120" w:type="dxa"/>
            <w:tcBorders/>
            <w:vAlign w:val="bottom"/>
          </w:tcPr>
          <w:p>
            <w:pPr>
              <w:pStyle w:val="TableContents"/>
              <w:bidi w:val="0"/>
              <w:spacing w:before="0" w:after="283"/>
              <w:jc w:val="left"/>
              <w:rPr/>
            </w:pPr>
            <w:r>
              <w:rPr/>
              <w:t>  </w:t>
            </w:r>
          </w:p>
        </w:tc>
        <w:tc>
          <w:tcPr>
            <w:tcW w:w="6140"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 xml:space="preserve">Attention: [*]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3945" w:type="dxa"/>
            <w:tcBorders/>
            <w:vAlign w:val="center"/>
          </w:tcPr>
          <w:p>
            <w:pPr>
              <w:pStyle w:val="TableContents"/>
              <w:bidi w:val="0"/>
              <w:spacing w:before="0" w:after="283"/>
              <w:jc w:val="left"/>
              <w:rPr>
                <w:sz w:val="4"/>
                <w:szCs w:val="4"/>
              </w:rPr>
            </w:pPr>
            <w:r>
              <w:rPr>
                <w:sz w:val="4"/>
                <w:szCs w:val="4"/>
              </w:rPr>
            </w:r>
          </w:p>
        </w:tc>
        <w:tc>
          <w:tcPr>
            <w:tcW w:w="6260" w:type="dxa"/>
            <w:gridSpan w:val="2"/>
            <w:tcBorders/>
            <w:vAlign w:val="center"/>
          </w:tcPr>
          <w:p>
            <w:pPr>
              <w:pStyle w:val="TableContents"/>
              <w:bidi w:val="0"/>
              <w:spacing w:before="0" w:after="283"/>
              <w:jc w:val="left"/>
              <w:rPr>
                <w:sz w:val="4"/>
                <w:szCs w:val="4"/>
              </w:rPr>
            </w:pPr>
            <w:r>
              <w:rPr>
                <w:sz w:val="4"/>
                <w:szCs w:val="4"/>
              </w:rPr>
            </w:r>
          </w:p>
        </w:tc>
      </w:tr>
      <w:tr>
        <w:trPr/>
        <w:tc>
          <w:tcPr>
            <w:tcW w:w="3945" w:type="dxa"/>
            <w:tcBorders/>
          </w:tcPr>
          <w:p>
            <w:pPr>
              <w:pStyle w:val="TableContents"/>
              <w:bidi w:val="0"/>
              <w:spacing w:before="0" w:after="0"/>
              <w:jc w:val="left"/>
              <w:rPr>
                <w:rFonts w:ascii="Times New Roman" w:hAnsi="Times New Roman"/>
                <w:sz w:val="20"/>
              </w:rPr>
            </w:pPr>
            <w:r>
              <w:rPr>
                <w:rFonts w:ascii="Times New Roman" w:hAnsi="Times New Roman"/>
                <w:sz w:val="20"/>
              </w:rPr>
              <w:t>METEORA SELECT TRADING OPPORTUNITIES MASTER, LP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BOOTHBAY ABSOLUTE RETURN</w:t>
            </w:r>
          </w:p>
          <w:p>
            <w:pPr>
              <w:pStyle w:val="TableContents"/>
              <w:bidi w:val="0"/>
              <w:spacing w:before="0" w:after="20"/>
              <w:jc w:val="left"/>
              <w:rPr>
                <w:rFonts w:ascii="Times New Roman" w:hAnsi="Times New Roman"/>
                <w:sz w:val="20"/>
              </w:rPr>
            </w:pPr>
            <w:r>
              <w:rPr>
                <w:rFonts w:ascii="Times New Roman" w:hAnsi="Times New Roman"/>
                <w:sz w:val="20"/>
              </w:rPr>
              <w:t>STRATEGIES, LP</w:t>
            </w:r>
          </w:p>
        </w:tc>
        <w:tc>
          <w:tcPr>
            <w:tcW w:w="120" w:type="dxa"/>
            <w:tcBorders/>
            <w:vAlign w:val="bottom"/>
          </w:tcPr>
          <w:p>
            <w:pPr>
              <w:pStyle w:val="TableContents"/>
              <w:bidi w:val="0"/>
              <w:spacing w:before="0" w:after="283"/>
              <w:jc w:val="left"/>
              <w:rPr/>
            </w:pPr>
            <w:r>
              <w:rPr/>
              <w:t>  </w:t>
            </w:r>
          </w:p>
        </w:tc>
        <w:tc>
          <w:tcPr>
            <w:tcW w:w="6140"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 xml:space="preserve">Attention: [*]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3945" w:type="dxa"/>
            <w:tcBorders/>
            <w:vAlign w:val="center"/>
          </w:tcPr>
          <w:p>
            <w:pPr>
              <w:pStyle w:val="TableContents"/>
              <w:bidi w:val="0"/>
              <w:spacing w:before="0" w:after="283"/>
              <w:jc w:val="left"/>
              <w:rPr>
                <w:sz w:val="4"/>
                <w:szCs w:val="4"/>
              </w:rPr>
            </w:pPr>
            <w:r>
              <w:rPr>
                <w:sz w:val="4"/>
                <w:szCs w:val="4"/>
              </w:rPr>
            </w:r>
          </w:p>
        </w:tc>
        <w:tc>
          <w:tcPr>
            <w:tcW w:w="6260" w:type="dxa"/>
            <w:gridSpan w:val="2"/>
            <w:tcBorders/>
            <w:vAlign w:val="center"/>
          </w:tcPr>
          <w:p>
            <w:pPr>
              <w:pStyle w:val="TableContents"/>
              <w:bidi w:val="0"/>
              <w:spacing w:before="0" w:after="283"/>
              <w:jc w:val="left"/>
              <w:rPr>
                <w:sz w:val="4"/>
                <w:szCs w:val="4"/>
              </w:rPr>
            </w:pPr>
            <w:r>
              <w:rPr>
                <w:sz w:val="4"/>
                <w:szCs w:val="4"/>
              </w:rPr>
            </w:r>
          </w:p>
        </w:tc>
      </w:tr>
      <w:tr>
        <w:trPr/>
        <w:tc>
          <w:tcPr>
            <w:tcW w:w="3945" w:type="dxa"/>
            <w:tcBorders/>
          </w:tcPr>
          <w:p>
            <w:pPr>
              <w:pStyle w:val="TableContents"/>
              <w:bidi w:val="0"/>
              <w:spacing w:before="0" w:after="0"/>
              <w:jc w:val="left"/>
              <w:rPr>
                <w:rFonts w:ascii="Times New Roman" w:hAnsi="Times New Roman"/>
                <w:sz w:val="20"/>
              </w:rPr>
            </w:pPr>
            <w:r>
              <w:rPr>
                <w:rFonts w:ascii="Times New Roman" w:hAnsi="Times New Roman"/>
                <w:sz w:val="20"/>
              </w:rPr>
              <w:t>DAVID L. COHEN REVOCABLE TRUST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DAVID L. COHEN COLORADO QPRT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PEAK VIEW CHARITABLE FOUNDATION</w:t>
            </w:r>
          </w:p>
        </w:tc>
        <w:tc>
          <w:tcPr>
            <w:tcW w:w="120" w:type="dxa"/>
            <w:tcBorders/>
            <w:vAlign w:val="bottom"/>
          </w:tcPr>
          <w:p>
            <w:pPr>
              <w:pStyle w:val="TableContents"/>
              <w:bidi w:val="0"/>
              <w:spacing w:before="0" w:after="283"/>
              <w:jc w:val="left"/>
              <w:rPr/>
            </w:pPr>
            <w:r>
              <w:rPr/>
              <w:t>  </w:t>
            </w:r>
          </w:p>
        </w:tc>
        <w:tc>
          <w:tcPr>
            <w:tcW w:w="6140"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 xml:space="preserve">Attention: [*] </w:t>
            </w:r>
          </w:p>
          <w:p>
            <w:pPr>
              <w:pStyle w:val="TableContents"/>
              <w:bidi w:val="0"/>
              <w:spacing w:before="0" w:after="20"/>
              <w:jc w:val="left"/>
              <w:rPr>
                <w:rFonts w:ascii="Times New Roman" w:hAnsi="Times New Roman"/>
                <w:sz w:val="20"/>
              </w:rPr>
            </w:pPr>
            <w:r>
              <w:rPr>
                <w:rFonts w:ascii="Times New Roman" w:hAnsi="Times New Roman"/>
                <w:sz w:val="20"/>
              </w:rPr>
              <w:t>Email: [*]</w:t>
            </w:r>
          </w:p>
        </w:tc>
      </w:tr>
      <w:tr>
        <w:trPr>
          <w:trHeight w:val="120" w:hRule="atLeast"/>
        </w:trPr>
        <w:tc>
          <w:tcPr>
            <w:tcW w:w="3945" w:type="dxa"/>
            <w:tcBorders/>
            <w:vAlign w:val="center"/>
          </w:tcPr>
          <w:p>
            <w:pPr>
              <w:pStyle w:val="TableContents"/>
              <w:bidi w:val="0"/>
              <w:spacing w:before="0" w:after="283"/>
              <w:jc w:val="left"/>
              <w:rPr>
                <w:sz w:val="4"/>
                <w:szCs w:val="4"/>
              </w:rPr>
            </w:pPr>
            <w:r>
              <w:rPr>
                <w:sz w:val="4"/>
                <w:szCs w:val="4"/>
              </w:rPr>
            </w:r>
          </w:p>
        </w:tc>
        <w:tc>
          <w:tcPr>
            <w:tcW w:w="6260" w:type="dxa"/>
            <w:gridSpan w:val="2"/>
            <w:tcBorders/>
            <w:vAlign w:val="center"/>
          </w:tcPr>
          <w:p>
            <w:pPr>
              <w:pStyle w:val="TableContents"/>
              <w:bidi w:val="0"/>
              <w:spacing w:before="0" w:after="283"/>
              <w:jc w:val="left"/>
              <w:rPr>
                <w:sz w:val="4"/>
                <w:szCs w:val="4"/>
              </w:rPr>
            </w:pPr>
            <w:r>
              <w:rPr>
                <w:sz w:val="4"/>
                <w:szCs w:val="4"/>
              </w:rPr>
            </w:r>
          </w:p>
        </w:tc>
      </w:tr>
      <w:tr>
        <w:trPr/>
        <w:tc>
          <w:tcPr>
            <w:tcW w:w="3945" w:type="dxa"/>
            <w:tcBorders/>
          </w:tcPr>
          <w:p>
            <w:pPr>
              <w:pStyle w:val="TableContents"/>
              <w:bidi w:val="0"/>
              <w:spacing w:before="0" w:after="283"/>
              <w:jc w:val="left"/>
              <w:rPr/>
            </w:pPr>
            <w:r>
              <w:rPr/>
              <w:t>DEANS KNIGHT CAPITAL MANAGEMENT LTD</w:t>
            </w:r>
          </w:p>
        </w:tc>
        <w:tc>
          <w:tcPr>
            <w:tcW w:w="120" w:type="dxa"/>
            <w:tcBorders/>
            <w:vAlign w:val="bottom"/>
          </w:tcPr>
          <w:p>
            <w:pPr>
              <w:pStyle w:val="TableContents"/>
              <w:bidi w:val="0"/>
              <w:spacing w:before="0" w:after="283"/>
              <w:jc w:val="left"/>
              <w:rPr/>
            </w:pPr>
            <w:r>
              <w:rPr/>
              <w:t>  </w:t>
            </w:r>
          </w:p>
        </w:tc>
        <w:tc>
          <w:tcPr>
            <w:tcW w:w="6140"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 xml:space="preserve">Attention: [*] </w:t>
            </w:r>
          </w:p>
          <w:p>
            <w:pPr>
              <w:pStyle w:val="TableContents"/>
              <w:bidi w:val="0"/>
              <w:spacing w:before="0" w:after="0"/>
              <w:jc w:val="left"/>
              <w:rPr>
                <w:rFonts w:ascii="Times New Roman" w:hAnsi="Times New Roman"/>
                <w:sz w:val="20"/>
              </w:rPr>
            </w:pPr>
            <w:r>
              <w:rPr>
                <w:rFonts w:ascii="Times New Roman" w:hAnsi="Times New Roman"/>
                <w:sz w:val="20"/>
              </w:rPr>
              <w:t>Email: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with a copy (which shall not constitute notice) to: [*]</w:t>
            </w:r>
          </w:p>
        </w:tc>
      </w:tr>
      <w:tr>
        <w:trPr>
          <w:trHeight w:val="120" w:hRule="atLeast"/>
        </w:trPr>
        <w:tc>
          <w:tcPr>
            <w:tcW w:w="3945" w:type="dxa"/>
            <w:tcBorders/>
            <w:vAlign w:val="center"/>
          </w:tcPr>
          <w:p>
            <w:pPr>
              <w:pStyle w:val="TableContents"/>
              <w:bidi w:val="0"/>
              <w:spacing w:before="0" w:after="283"/>
              <w:jc w:val="left"/>
              <w:rPr>
                <w:sz w:val="4"/>
                <w:szCs w:val="4"/>
              </w:rPr>
            </w:pPr>
            <w:r>
              <w:rPr>
                <w:sz w:val="4"/>
                <w:szCs w:val="4"/>
              </w:rPr>
            </w:r>
          </w:p>
        </w:tc>
        <w:tc>
          <w:tcPr>
            <w:tcW w:w="6260" w:type="dxa"/>
            <w:gridSpan w:val="2"/>
            <w:tcBorders/>
            <w:vAlign w:val="center"/>
          </w:tcPr>
          <w:p>
            <w:pPr>
              <w:pStyle w:val="TableContents"/>
              <w:bidi w:val="0"/>
              <w:spacing w:before="0" w:after="283"/>
              <w:jc w:val="left"/>
              <w:rPr>
                <w:sz w:val="4"/>
                <w:szCs w:val="4"/>
              </w:rPr>
            </w:pPr>
            <w:r>
              <w:rPr>
                <w:sz w:val="4"/>
                <w:szCs w:val="4"/>
              </w:rPr>
            </w:r>
          </w:p>
        </w:tc>
      </w:tr>
      <w:tr>
        <w:trPr/>
        <w:tc>
          <w:tcPr>
            <w:tcW w:w="3945" w:type="dxa"/>
            <w:tcBorders/>
          </w:tcPr>
          <w:p>
            <w:pPr>
              <w:pStyle w:val="TableContents"/>
              <w:bidi w:val="0"/>
              <w:spacing w:before="0" w:after="283"/>
              <w:jc w:val="left"/>
              <w:rPr/>
            </w:pPr>
            <w:r>
              <w:rPr/>
              <w:t>NEWPORT GLOBAL ADVISORS</w:t>
            </w:r>
          </w:p>
        </w:tc>
        <w:tc>
          <w:tcPr>
            <w:tcW w:w="120" w:type="dxa"/>
            <w:tcBorders/>
            <w:vAlign w:val="bottom"/>
          </w:tcPr>
          <w:p>
            <w:pPr>
              <w:pStyle w:val="TableContents"/>
              <w:bidi w:val="0"/>
              <w:spacing w:before="0" w:after="283"/>
              <w:jc w:val="left"/>
              <w:rPr/>
            </w:pPr>
            <w:r>
              <w:rPr/>
              <w:t>  </w:t>
            </w:r>
          </w:p>
        </w:tc>
        <w:tc>
          <w:tcPr>
            <w:tcW w:w="6140"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 xml:space="preserve">Attention: [*] </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941"/>
        <w:gridCol w:w="121"/>
        <w:gridCol w:w="6143"/>
      </w:tblGrid>
      <w:tr>
        <w:trPr/>
        <w:tc>
          <w:tcPr>
            <w:tcW w:w="39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14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941" w:type="dxa"/>
            <w:tcBorders/>
            <w:vAlign w:val="center"/>
          </w:tcPr>
          <w:p>
            <w:pPr>
              <w:pStyle w:val="TableContents"/>
              <w:bidi w:val="0"/>
              <w:spacing w:before="0" w:after="283"/>
              <w:jc w:val="left"/>
              <w:rPr>
                <w:sz w:val="4"/>
                <w:szCs w:val="4"/>
              </w:rPr>
            </w:pPr>
            <w:r>
              <w:rPr>
                <w:sz w:val="4"/>
                <w:szCs w:val="4"/>
              </w:rPr>
            </w:r>
          </w:p>
        </w:tc>
        <w:tc>
          <w:tcPr>
            <w:tcW w:w="6264" w:type="dxa"/>
            <w:gridSpan w:val="2"/>
            <w:tcBorders/>
            <w:vAlign w:val="center"/>
          </w:tcPr>
          <w:p>
            <w:pPr>
              <w:pStyle w:val="TableContents"/>
              <w:bidi w:val="0"/>
              <w:spacing w:before="0" w:after="283"/>
              <w:jc w:val="left"/>
              <w:rPr>
                <w:sz w:val="4"/>
                <w:szCs w:val="4"/>
              </w:rPr>
            </w:pPr>
            <w:r>
              <w:rPr>
                <w:sz w:val="4"/>
                <w:szCs w:val="4"/>
              </w:rPr>
            </w:r>
          </w:p>
        </w:tc>
      </w:tr>
      <w:tr>
        <w:trPr/>
        <w:tc>
          <w:tcPr>
            <w:tcW w:w="3941" w:type="dxa"/>
            <w:tcBorders/>
          </w:tcPr>
          <w:p>
            <w:pPr>
              <w:pStyle w:val="TableContents"/>
              <w:bidi w:val="0"/>
              <w:spacing w:before="0" w:after="283"/>
              <w:jc w:val="left"/>
              <w:rPr/>
            </w:pPr>
            <w:r>
              <w:rPr/>
              <w:t>WINDERMERE INVESTMENT CORPORATION</w:t>
            </w:r>
          </w:p>
        </w:tc>
        <w:tc>
          <w:tcPr>
            <w:tcW w:w="121" w:type="dxa"/>
            <w:tcBorders/>
            <w:vAlign w:val="bottom"/>
          </w:tcPr>
          <w:p>
            <w:pPr>
              <w:pStyle w:val="TableContents"/>
              <w:bidi w:val="0"/>
              <w:spacing w:before="0" w:after="283"/>
              <w:jc w:val="left"/>
              <w:rPr/>
            </w:pPr>
            <w:r>
              <w:rPr/>
              <w:t>  </w:t>
            </w:r>
          </w:p>
        </w:tc>
        <w:tc>
          <w:tcPr>
            <w:tcW w:w="6143"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 xml:space="preserve">Attention: [*] </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Joinder </w:t>
      </w:r>
    </w:p>
    <w:p>
      <w:pPr>
        <w:pStyle w:val="TextBody"/>
        <w:bidi w:val="0"/>
        <w:spacing w:before="240" w:after="0"/>
        <w:jc w:val="center"/>
        <w:rPr>
          <w:rFonts w:ascii="Times New Roman" w:hAnsi="Times New Roman"/>
          <w:b/>
          <w:sz w:val="20"/>
        </w:rPr>
      </w:pPr>
      <w:r>
        <w:rPr>
          <w:rFonts w:ascii="Times New Roman" w:hAnsi="Times New Roman"/>
          <w:b/>
          <w:sz w:val="20"/>
        </w:rPr>
        <w:t xml:space="preserve">JOINDER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Joinder Agreement (this </w:t>
      </w:r>
      <w:r>
        <w:rPr>
          <w:rFonts w:ascii="Times New Roman" w:hAnsi="Times New Roman"/>
          <w:sz w:val="20"/>
          <w:u w:val="single"/>
        </w:rPr>
        <w:t>“Joinder”</w:t>
      </w:r>
      <w:r>
        <w:rPr>
          <w:rFonts w:ascii="Times New Roman" w:hAnsi="Times New Roman"/>
          <w:sz w:val="20"/>
        </w:rPr>
        <w:t>) is executed and delivered as of [], 2026 by the undersigned (the “</w:t>
      </w:r>
      <w:r>
        <w:rPr>
          <w:rFonts w:ascii="Times New Roman" w:hAnsi="Times New Roman"/>
          <w:sz w:val="20"/>
          <w:u w:val="single"/>
        </w:rPr>
        <w:t>Joinder Backstop Party</w:t>
      </w:r>
      <w:r>
        <w:rPr>
          <w:rFonts w:ascii="Times New Roman" w:hAnsi="Times New Roman"/>
          <w:sz w:val="20"/>
        </w:rPr>
        <w:t xml:space="preserve">”) pursuant to Section 5(b) of that certain Rights Offering Backstop Agreement, dated as of August 6, 2026 (as amended, restated, supplemented or otherwise modified from time to time, the </w:t>
      </w:r>
      <w:r>
        <w:rPr>
          <w:rFonts w:ascii="Times New Roman" w:hAnsi="Times New Roman"/>
          <w:sz w:val="20"/>
          <w:u w:val="single"/>
        </w:rPr>
        <w:t>“Agreement”</w:t>
      </w:r>
      <w:r>
        <w:rPr>
          <w:rFonts w:ascii="Times New Roman" w:hAnsi="Times New Roman"/>
          <w:sz w:val="20"/>
        </w:rPr>
        <w:t>), by and among KLX Energy Services Holdings, Inc., a Delaware corporation (the “</w:t>
      </w:r>
      <w:r>
        <w:rPr>
          <w:rFonts w:ascii="Times New Roman" w:hAnsi="Times New Roman"/>
          <w:sz w:val="20"/>
          <w:u w:val="single"/>
        </w:rPr>
        <w:t>Company</w:t>
      </w:r>
      <w:r>
        <w:rPr>
          <w:rFonts w:ascii="Times New Roman" w:hAnsi="Times New Roman"/>
          <w:sz w:val="20"/>
        </w:rPr>
        <w:t xml:space="preserve">”), and the Backstop Parties party thereto. Capitalized terms used but not otherwise defined herein have the meanings given to them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Joinder Backstop Party hereby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Joinder</w:t>
      </w:r>
      <w:r>
        <w:rPr>
          <w:rFonts w:ascii="Times New Roman" w:hAnsi="Times New Roman"/>
          <w:sz w:val="20"/>
        </w:rPr>
        <w:t>. Effective as of the date first written above (the “</w:t>
      </w:r>
      <w:r>
        <w:rPr>
          <w:rFonts w:ascii="Times New Roman" w:hAnsi="Times New Roman"/>
          <w:sz w:val="20"/>
          <w:u w:val="single"/>
        </w:rPr>
        <w:t>Joinder Effective Date</w:t>
      </w:r>
      <w:r>
        <w:rPr>
          <w:rFonts w:ascii="Times New Roman" w:hAnsi="Times New Roman"/>
          <w:sz w:val="20"/>
        </w:rPr>
        <w:t xml:space="preserve">”), the Joinder Backstop Party hereby (a) becomes a party to the Agreement as a Backstop Party for all purposes thereof, (b) agrees to be bound by, and to comply with, all of the terms, conditions, covenants, agreements and obligations of a Backstop Party set forth in the Agreement as fully as if it had been an original signatory thereto, and (c) shall be entitled to all of the rights and benefits of a Backstop Party under the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Individual Backstop Commitment</w:t>
      </w:r>
      <w:r>
        <w:rPr>
          <w:rFonts w:ascii="Times New Roman" w:hAnsi="Times New Roman"/>
          <w:sz w:val="20"/>
        </w:rPr>
        <w:t xml:space="preserve">. The Joinder Backstop Party hereby commits to an Individual Backstop Commitment in the amount of $[], representing a Backstop Percentage of []%. Upon the effectiveness of this Joinder, Schedule A to the Agreement shall be deemed amended to reflect the Joinder Backstop Party as a Backstop Party and its Individual Backstop Commitment and Backstop Percentage.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Representations and Warranties</w:t>
      </w:r>
      <w:r>
        <w:rPr>
          <w:rFonts w:ascii="Times New Roman" w:hAnsi="Times New Roman"/>
          <w:sz w:val="20"/>
        </w:rPr>
        <w:t xml:space="preserve">. The Joinder Backstop Party hereby makes, as of the Joinder Effective Date, each of the representations and warranties of a Backstop Party set forth in the Agreement as if such representations and warranties were set forth in full herein.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Miscellaneous</w:t>
      </w:r>
      <w:r>
        <w:rPr>
          <w:rFonts w:ascii="Times New Roman" w:hAnsi="Times New Roman"/>
          <w:sz w:val="20"/>
        </w:rPr>
        <w:t xml:space="preserve">. The provisions of the Agreement (including those relating to governing law, jurisdiction, waiver of jury trial, counterparts, amendments and notices) are incorporated herein by reference and shall apply to this Joinder mutatis mutandis. This Joinder shall be governed by, and construed in accordance with, the laws of the State of New York, regardless of the laws that might otherwise govern under applicable principles of conflicts of laws thereof. Except as expressly set forth herein, the Agreement remains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Joinder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55"/>
        <w:gridCol w:w="118"/>
        <w:gridCol w:w="3209"/>
      </w:tblGrid>
      <w:tr>
        <w:trPr/>
        <w:tc>
          <w:tcPr>
            <w:tcW w:w="7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[JOINDER BACKSTOP PARTY]</w:t>
            </w:r>
          </w:p>
        </w:tc>
      </w:tr>
      <w:tr>
        <w:trPr>
          <w:trHeight w:val="240" w:hRule="atLeast"/>
        </w:trPr>
        <w:tc>
          <w:tcPr>
            <w:tcW w:w="755" w:type="dxa"/>
            <w:tcBorders/>
            <w:vAlign w:val="center"/>
          </w:tcPr>
          <w:p>
            <w:pPr>
              <w:pStyle w:val="TableContents"/>
              <w:bidi w:val="0"/>
              <w:spacing w:before="0" w:after="283"/>
              <w:jc w:val="left"/>
              <w:rPr>
                <w:sz w:val="4"/>
                <w:szCs w:val="4"/>
              </w:rPr>
            </w:pPr>
            <w:r>
              <w:rPr>
                <w:sz w:val="4"/>
                <w:szCs w:val="4"/>
              </w:rPr>
            </w:r>
          </w:p>
        </w:tc>
        <w:tc>
          <w:tcPr>
            <w:tcW w:w="3327"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320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w:t>
            </w:r>
          </w:p>
        </w:tc>
      </w:tr>
      <w:tr>
        <w:trPr/>
        <w:tc>
          <w:tcPr>
            <w:tcW w:w="4082" w:type="dxa"/>
            <w:gridSpan w:val="3"/>
            <w:tcBorders/>
          </w:tcPr>
          <w:p>
            <w:pPr>
              <w:pStyle w:val="TableContents"/>
              <w:bidi w:val="0"/>
              <w:spacing w:before="0" w:after="283"/>
              <w:jc w:val="left"/>
              <w:rPr/>
            </w:pPr>
            <w:r>
              <w:rPr/>
              <w:t>Attention: []</w:t>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KLX ENERGY SERVICES HOLDINGS, INC.</w:t>
            </w:r>
          </w:p>
        </w:tc>
      </w:tr>
      <w:tr>
        <w:trPr>
          <w:trHeight w:val="240" w:hRule="atLeast"/>
        </w:trPr>
        <w:tc>
          <w:tcPr>
            <w:tcW w:w="755" w:type="dxa"/>
            <w:tcBorders/>
            <w:vAlign w:val="center"/>
          </w:tcPr>
          <w:p>
            <w:pPr>
              <w:pStyle w:val="TableContents"/>
              <w:bidi w:val="0"/>
              <w:spacing w:before="0" w:after="283"/>
              <w:jc w:val="left"/>
              <w:rPr>
                <w:sz w:val="4"/>
                <w:szCs w:val="4"/>
              </w:rPr>
            </w:pPr>
            <w:r>
              <w:rPr>
                <w:sz w:val="4"/>
                <w:szCs w:val="4"/>
              </w:rPr>
            </w:r>
          </w:p>
        </w:tc>
        <w:tc>
          <w:tcPr>
            <w:tcW w:w="3327"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283"/>
              <w:jc w:val="left"/>
              <w:rPr/>
            </w:pPr>
            <w:r>
              <w:rPr/>
              <w:t>By:</w:t>
            </w:r>
          </w:p>
        </w:tc>
        <w:tc>
          <w:tcPr>
            <w:tcW w:w="118" w:type="dxa"/>
            <w:tcBorders/>
            <w:vAlign w:val="bottom"/>
          </w:tcPr>
          <w:p>
            <w:pPr>
              <w:pStyle w:val="TableContents"/>
              <w:bidi w:val="0"/>
              <w:spacing w:before="0" w:after="283"/>
              <w:jc w:val="left"/>
              <w:rPr/>
            </w:pPr>
            <w:r>
              <w:rPr/>
              <w:t> </w:t>
            </w:r>
          </w:p>
        </w:tc>
        <w:tc>
          <w:tcPr>
            <w:tcW w:w="320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Commitment Increase </w:t>
      </w:r>
    </w:p>
    <w:p>
      <w:pPr>
        <w:pStyle w:val="TextBody"/>
        <w:bidi w:val="0"/>
        <w:spacing w:before="240" w:after="0"/>
        <w:jc w:val="center"/>
        <w:rPr>
          <w:rFonts w:ascii="Times New Roman" w:hAnsi="Times New Roman"/>
          <w:b/>
          <w:sz w:val="20"/>
        </w:rPr>
      </w:pPr>
      <w:r>
        <w:rPr>
          <w:rFonts w:ascii="Times New Roman" w:hAnsi="Times New Roman"/>
          <w:b/>
          <w:sz w:val="20"/>
        </w:rPr>
        <w:t xml:space="preserve">COMMITMENT INCREASE AGREEMENT </w:t>
      </w:r>
    </w:p>
    <w:p>
      <w:pPr>
        <w:pStyle w:val="TextBody"/>
        <w:bidi w:val="0"/>
        <w:spacing w:before="240" w:after="0"/>
        <w:jc w:val="left"/>
        <w:rPr>
          <w:rFonts w:ascii="Times New Roman" w:hAnsi="Times New Roman"/>
          <w:sz w:val="20"/>
        </w:rPr>
      </w:pPr>
      <w:r>
        <w:rPr>
          <w:rFonts w:ascii="Times New Roman" w:hAnsi="Times New Roman"/>
          <w:sz w:val="20"/>
        </w:rPr>
        <w:t>This Commitment Increase Agreement (this “</w:t>
      </w:r>
      <w:r>
        <w:rPr>
          <w:rFonts w:ascii="Times New Roman" w:hAnsi="Times New Roman"/>
          <w:sz w:val="20"/>
          <w:u w:val="single"/>
        </w:rPr>
        <w:t>Commitment Increase</w:t>
      </w:r>
      <w:r>
        <w:rPr>
          <w:rFonts w:ascii="Times New Roman" w:hAnsi="Times New Roman"/>
          <w:sz w:val="20"/>
        </w:rPr>
        <w:t>”) is executed and delivered as of [], 2026 by the undersigned (the “</w:t>
      </w:r>
      <w:r>
        <w:rPr>
          <w:rFonts w:ascii="Times New Roman" w:hAnsi="Times New Roman"/>
          <w:sz w:val="20"/>
          <w:u w:val="single"/>
        </w:rPr>
        <w:t>Increasing Backstop Party</w:t>
      </w:r>
      <w:r>
        <w:rPr>
          <w:rFonts w:ascii="Times New Roman" w:hAnsi="Times New Roman"/>
          <w:sz w:val="20"/>
        </w:rPr>
        <w:t>”) pursuant to Section 5(b) of that certain Rights Offering Backstop Agreement, dated as of August 6, 2026 (as amended, restated, supplemented or otherwise modified from time to time, the “</w:t>
      </w:r>
      <w:r>
        <w:rPr>
          <w:rFonts w:ascii="Times New Roman" w:hAnsi="Times New Roman"/>
          <w:sz w:val="20"/>
          <w:u w:val="single"/>
        </w:rPr>
        <w:t>Agreement</w:t>
      </w:r>
      <w:r>
        <w:rPr>
          <w:rFonts w:ascii="Times New Roman" w:hAnsi="Times New Roman"/>
          <w:sz w:val="20"/>
        </w:rPr>
        <w:t>”), by and among KLX Energy Services Holdings, Inc., a Delaware corporation (the “</w:t>
      </w:r>
      <w:r>
        <w:rPr>
          <w:rFonts w:ascii="Times New Roman" w:hAnsi="Times New Roman"/>
          <w:sz w:val="20"/>
          <w:u w:val="single"/>
        </w:rPr>
        <w:t>Company</w:t>
      </w:r>
      <w:r>
        <w:rPr>
          <w:rFonts w:ascii="Times New Roman" w:hAnsi="Times New Roman"/>
          <w:sz w:val="20"/>
        </w:rPr>
        <w:t xml:space="preserve">”), and the Backstop Parties party thereto. Capitalized terms used but not otherwise defined herein have the meanings given to them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Increasing Backstop Party is an existing Backstop Party under the Agreement and desires to increase its Individual Backstop Commitment in accordance with Section 5(b) of the Agreement. Accordingly, the Increasing Backstop Party hereby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Commitment Increase</w:t>
      </w:r>
      <w:r>
        <w:rPr>
          <w:rFonts w:ascii="Times New Roman" w:hAnsi="Times New Roman"/>
          <w:sz w:val="20"/>
        </w:rPr>
        <w:t>. Effective as of the date first written above (the “</w:t>
      </w:r>
      <w:r>
        <w:rPr>
          <w:rFonts w:ascii="Times New Roman" w:hAnsi="Times New Roman"/>
          <w:sz w:val="20"/>
          <w:u w:val="single"/>
        </w:rPr>
        <w:t>Increase Effective Date</w:t>
      </w:r>
      <w:r>
        <w:rPr>
          <w:rFonts w:ascii="Times New Roman" w:hAnsi="Times New Roman"/>
          <w:sz w:val="20"/>
        </w:rPr>
        <w:t>”), the Individual Backstop Commitment of the Increasing Backstop Party is hereby increased by $[] (the “</w:t>
      </w:r>
      <w:r>
        <w:rPr>
          <w:rFonts w:ascii="Times New Roman" w:hAnsi="Times New Roman"/>
          <w:sz w:val="20"/>
          <w:u w:val="single"/>
        </w:rPr>
        <w:t>Increased Amount</w:t>
      </w:r>
      <w:r>
        <w:rPr>
          <w:rFonts w:ascii="Times New Roman" w:hAnsi="Times New Roman"/>
          <w:sz w:val="20"/>
        </w:rPr>
        <w:t>”), from $[] to $[] (such increased amount, the Increasing Backstop Party’s “</w:t>
      </w:r>
      <w:r>
        <w:rPr>
          <w:rFonts w:ascii="Times New Roman" w:hAnsi="Times New Roman"/>
          <w:sz w:val="20"/>
          <w:u w:val="single"/>
        </w:rPr>
        <w:t>Revised Individual Backstop Commitment</w:t>
      </w:r>
      <w:r>
        <w:rPr>
          <w:rFonts w:ascii="Times New Roman" w:hAnsi="Times New Roman"/>
          <w:sz w:val="20"/>
        </w:rPr>
        <w:t xml:space="preserve">”), and its Backstop Percentage is correspondingly adjusted to []%.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Effect on Agreement</w:t>
      </w:r>
      <w:r>
        <w:rPr>
          <w:rFonts w:ascii="Times New Roman" w:hAnsi="Times New Roman"/>
          <w:sz w:val="20"/>
        </w:rPr>
        <w:t xml:space="preserve">. From and after the Increase Effective Date, all references in the Agreement to the Increasing Backstop Party’s Individual Backstop Commitment and Backstop Percentage shall mean the Revised Individual Backstop Commitment and adjusted Backstop Percentage set forth herein, and the Increasing Backstop Party shall remain bound by, and continue to comply with, all of the terms, conditions, covenants, agreements and obligations of a Backstop Party under the Agreement with respect to its Revised Individual Backstop Commitment. Upon the effectiveness of this Commitment Increase, Schedule A to the Agreement shall be deemed amended to reflect the Increasing Backstop Party’s Revised Individual Backstop Commitment and adjusted Backstop Percentage.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Representations and Warranties</w:t>
      </w:r>
      <w:r>
        <w:rPr>
          <w:rFonts w:ascii="Times New Roman" w:hAnsi="Times New Roman"/>
          <w:sz w:val="20"/>
        </w:rPr>
        <w:t xml:space="preserve">. The Increasing Backstop Party hereby remakes, as of the Increase Effective Date, each of the representations and warranties of a Backstop Party set forth in the Agreement as if such representations and warranties were set forth in full herein, including with respect to its Revised Individual Backstop Commitment.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Miscellaneous</w:t>
      </w:r>
      <w:r>
        <w:rPr>
          <w:rFonts w:ascii="Times New Roman" w:hAnsi="Times New Roman"/>
          <w:sz w:val="20"/>
        </w:rPr>
        <w:t xml:space="preserve">. The provisions of the Agreement (including those relating to governing law, jurisdiction, waiver of jury trial, counterparts, amendments and notices) are incorporated herein by reference and shall apply to this Commitment Increase mutatis mutandis. This Commitment Increase shall be governed by, and construed in accordance with, the laws of the State of New York, regardless of the laws that might otherwise govern under applicable principles of conflicts of laws thereof. Except as expressly set forth herein, the Agreement remains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Commitment Increase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61"/>
        <w:gridCol w:w="138"/>
        <w:gridCol w:w="3183"/>
      </w:tblGrid>
      <w:tr>
        <w:trPr/>
        <w:tc>
          <w:tcPr>
            <w:tcW w:w="761"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b/>
              </w:rPr>
              <w:t>INCREASING BACKSTOP PARTY</w:t>
            </w:r>
            <w:r>
              <w:rPr/>
              <w:t>]</w:t>
            </w:r>
          </w:p>
        </w:tc>
      </w:tr>
      <w:tr>
        <w:trPr>
          <w:trHeight w:val="240" w:hRule="atLeast"/>
        </w:trPr>
        <w:tc>
          <w:tcPr>
            <w:tcW w:w="761"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r>
      <w:tr>
        <w:trPr/>
        <w:tc>
          <w:tcPr>
            <w:tcW w:w="761" w:type="dxa"/>
            <w:tcBorders/>
          </w:tcPr>
          <w:p>
            <w:pPr>
              <w:pStyle w:val="TableContents"/>
              <w:bidi w:val="0"/>
              <w:spacing w:before="0" w:after="283"/>
              <w:jc w:val="left"/>
              <w:rPr/>
            </w:pPr>
            <w:r>
              <w:rPr/>
              <w:t>By:</w:t>
            </w:r>
          </w:p>
        </w:tc>
        <w:tc>
          <w:tcPr>
            <w:tcW w:w="138" w:type="dxa"/>
            <w:tcBorders/>
            <w:vAlign w:val="bottom"/>
          </w:tcPr>
          <w:p>
            <w:pPr>
              <w:pStyle w:val="TableContents"/>
              <w:bidi w:val="0"/>
              <w:spacing w:before="0" w:after="283"/>
              <w:jc w:val="left"/>
              <w:rPr/>
            </w:pPr>
            <w:r>
              <w:rPr/>
              <w:t> </w:t>
            </w:r>
          </w:p>
        </w:tc>
        <w:tc>
          <w:tcPr>
            <w:tcW w:w="318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KLX ENERGY SERVICES HOLDINGS, INC.</w:t>
            </w:r>
          </w:p>
        </w:tc>
      </w:tr>
      <w:tr>
        <w:trPr>
          <w:trHeight w:val="240" w:hRule="atLeast"/>
        </w:trPr>
        <w:tc>
          <w:tcPr>
            <w:tcW w:w="761" w:type="dxa"/>
            <w:tcBorders/>
            <w:vAlign w:val="center"/>
          </w:tcPr>
          <w:p>
            <w:pPr>
              <w:pStyle w:val="TableContents"/>
              <w:bidi w:val="0"/>
              <w:spacing w:before="0" w:after="283"/>
              <w:jc w:val="left"/>
              <w:rPr>
                <w:sz w:val="4"/>
                <w:szCs w:val="4"/>
              </w:rPr>
            </w:pPr>
            <w:r>
              <w:rPr>
                <w:sz w:val="4"/>
                <w:szCs w:val="4"/>
              </w:rPr>
            </w:r>
          </w:p>
        </w:tc>
        <w:tc>
          <w:tcPr>
            <w:tcW w:w="3321" w:type="dxa"/>
            <w:gridSpan w:val="2"/>
            <w:tcBorders/>
            <w:vAlign w:val="center"/>
          </w:tcPr>
          <w:p>
            <w:pPr>
              <w:pStyle w:val="TableContents"/>
              <w:bidi w:val="0"/>
              <w:spacing w:before="0" w:after="283"/>
              <w:jc w:val="left"/>
              <w:rPr>
                <w:sz w:val="4"/>
                <w:szCs w:val="4"/>
              </w:rPr>
            </w:pPr>
            <w:r>
              <w:rPr>
                <w:sz w:val="4"/>
                <w:szCs w:val="4"/>
              </w:rPr>
            </w:r>
          </w:p>
        </w:tc>
      </w:tr>
      <w:tr>
        <w:trPr/>
        <w:tc>
          <w:tcPr>
            <w:tcW w:w="761" w:type="dxa"/>
            <w:tcBorders/>
          </w:tcPr>
          <w:p>
            <w:pPr>
              <w:pStyle w:val="TableContents"/>
              <w:bidi w:val="0"/>
              <w:spacing w:before="0" w:after="283"/>
              <w:jc w:val="left"/>
              <w:rPr/>
            </w:pPr>
            <w:r>
              <w:rPr/>
              <w:t>By:</w:t>
            </w:r>
          </w:p>
        </w:tc>
        <w:tc>
          <w:tcPr>
            <w:tcW w:w="138" w:type="dxa"/>
            <w:tcBorders/>
            <w:vAlign w:val="bottom"/>
          </w:tcPr>
          <w:p>
            <w:pPr>
              <w:pStyle w:val="TableContents"/>
              <w:bidi w:val="0"/>
              <w:spacing w:before="0" w:after="283"/>
              <w:jc w:val="left"/>
              <w:rPr/>
            </w:pPr>
            <w:r>
              <w:rPr/>
              <w:t> </w:t>
            </w:r>
          </w:p>
        </w:tc>
        <w:tc>
          <w:tcPr>
            <w:tcW w:w="318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exd"/>
      <w:bookmarkEnd w:id="4"/>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Amended and Restated Indenture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SECURED FLOATING RATE CASH / PIK NOTES DUE 2030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 20[ ],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as Trustee and Collateral Agent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0"/>
        <w:gridCol w:w="125"/>
        <w:gridCol w:w="7620"/>
        <w:gridCol w:w="175"/>
        <w:gridCol w:w="96"/>
        <w:gridCol w:w="425"/>
        <w:gridCol w:w="64"/>
      </w:tblGrid>
      <w:tr>
        <w:trPr/>
        <w:tc>
          <w:tcPr>
            <w:tcW w:w="170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62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DEFINITIONS</w:t>
            </w:r>
          </w:p>
        </w:tc>
        <w:tc>
          <w:tcPr>
            <w:tcW w:w="64" w:type="dxa"/>
            <w:tcBorders/>
          </w:tcPr>
          <w:p>
            <w:pPr>
              <w:pStyle w:val="TableContents"/>
              <w:bidi w:val="0"/>
              <w:spacing w:before="0" w:after="0"/>
              <w:jc w:val="left"/>
              <w:rPr/>
            </w:pPr>
            <w:r>
              <w:rPr/>
              <w:t> </w:t>
            </w:r>
          </w:p>
        </w:tc>
      </w:tr>
      <w:tr>
        <w:trPr>
          <w:trHeight w:val="120" w:hRule="atLeast"/>
        </w:trPr>
        <w:tc>
          <w:tcPr>
            <w:tcW w:w="170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Defined Terms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Classification of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Terms Generally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Accounting Terms; GAAP; Tax Laws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[Reserved]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Limited Condition Acquisition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Times of Day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Deliveries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Schedules and Exhibits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Currency Generally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Basket Amounts and Application of Multiple Relevant Provisions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Acts of 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Currency Translation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Disclaimer and Exculpation With Respect to SOFR and any Benchmark Rate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THE NOTES</w:t>
            </w:r>
          </w:p>
        </w:tc>
        <w:tc>
          <w:tcPr>
            <w:tcW w:w="64" w:type="dxa"/>
            <w:tcBorders/>
          </w:tcPr>
          <w:p>
            <w:pPr>
              <w:pStyle w:val="TableContents"/>
              <w:bidi w:val="0"/>
              <w:spacing w:before="0" w:after="0"/>
              <w:jc w:val="left"/>
              <w:rPr/>
            </w:pPr>
            <w:r>
              <w:rPr/>
              <w:t> </w:t>
            </w:r>
          </w:p>
        </w:tc>
      </w:tr>
      <w:tr>
        <w:trPr>
          <w:trHeight w:val="120" w:hRule="atLeast"/>
        </w:trPr>
        <w:tc>
          <w:tcPr>
            <w:tcW w:w="170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Form and Dating, Terms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Execution and Authentication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Registrar; Paying Agent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Paying Agent to Hold Money in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Holder Lists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Transfers and Exchange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Replacement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Outstanding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Treasury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Temporary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Cancellation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Calculations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Interest on Notes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CUSIP and ISIN Numbers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Persons Deemed Owners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Alternate Rate of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700"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25" w:type="dxa"/>
            <w:tcBorders/>
            <w:vAlign w:val="bottom"/>
          </w:tcPr>
          <w:p>
            <w:pPr>
              <w:pStyle w:val="TableContents"/>
              <w:bidi w:val="0"/>
              <w:spacing w:before="0" w:after="283"/>
              <w:jc w:val="left"/>
              <w:rPr/>
            </w:pPr>
            <w:r>
              <w:rPr/>
              <w:t> </w:t>
            </w:r>
          </w:p>
        </w:tc>
        <w:tc>
          <w:tcPr>
            <w:tcW w:w="7620" w:type="dxa"/>
            <w:tcBorders/>
            <w:vAlign w:val="bottom"/>
          </w:tcPr>
          <w:p>
            <w:pPr>
              <w:pStyle w:val="TableContents"/>
              <w:bidi w:val="0"/>
              <w:spacing w:before="0" w:after="283"/>
              <w:jc w:val="left"/>
              <w:rPr/>
            </w:pPr>
            <w:r>
              <w:rPr/>
              <w:t>Benchmark Replacement Setting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26"/>
        <w:gridCol w:w="118"/>
        <w:gridCol w:w="7895"/>
        <w:gridCol w:w="153"/>
        <w:gridCol w:w="60"/>
        <w:gridCol w:w="389"/>
        <w:gridCol w:w="64"/>
      </w:tblGrid>
      <w:tr>
        <w:trPr/>
        <w:tc>
          <w:tcPr>
            <w:tcW w:w="1526"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89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III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REDEMPTION AND PREPAYMENT</w:t>
            </w:r>
          </w:p>
        </w:tc>
        <w:tc>
          <w:tcPr>
            <w:tcW w:w="64" w:type="dxa"/>
            <w:tcBorders/>
          </w:tcPr>
          <w:p>
            <w:pPr>
              <w:pStyle w:val="TableContents"/>
              <w:bidi w:val="0"/>
              <w:spacing w:before="0" w:after="0"/>
              <w:jc w:val="left"/>
              <w:rPr/>
            </w:pPr>
            <w:r>
              <w:rPr/>
              <w:t> </w:t>
            </w:r>
          </w:p>
        </w:tc>
      </w:tr>
      <w:tr>
        <w:trPr>
          <w:trHeight w:val="120" w:hRule="atLeast"/>
        </w:trPr>
        <w:tc>
          <w:tcPr>
            <w:tcW w:w="1526" w:type="dxa"/>
            <w:tcBorders/>
            <w:vAlign w:val="center"/>
          </w:tcPr>
          <w:p>
            <w:pPr>
              <w:pStyle w:val="TableContents"/>
              <w:bidi w:val="0"/>
              <w:spacing w:before="0" w:after="283"/>
              <w:jc w:val="left"/>
              <w:rPr>
                <w:sz w:val="4"/>
                <w:szCs w:val="4"/>
              </w:rPr>
            </w:pPr>
            <w:r>
              <w:rPr>
                <w:sz w:val="4"/>
                <w:szCs w:val="4"/>
              </w:rPr>
            </w:r>
          </w:p>
        </w:tc>
        <w:tc>
          <w:tcPr>
            <w:tcW w:w="801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Notices to Trustee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Selection of Notes to Be Redeemed</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Notice of Optional Redemption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Effect of Notice of Redemption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Deposit of Redemption Price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Notes Redeemed in Part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Optional Redemption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Net Cash Proceeds Offers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Change of Control</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[Reserved.]</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Applicable Other Indebtedness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Mandatory Quarterly Redemption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IV</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[RESERVED]</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AFFIRMATIVE COVENANTS</w:t>
            </w:r>
          </w:p>
        </w:tc>
        <w:tc>
          <w:tcPr>
            <w:tcW w:w="64" w:type="dxa"/>
            <w:tcBorders/>
          </w:tcPr>
          <w:p>
            <w:pPr>
              <w:pStyle w:val="TableContents"/>
              <w:bidi w:val="0"/>
              <w:spacing w:before="0" w:after="0"/>
              <w:jc w:val="left"/>
              <w:rPr/>
            </w:pPr>
            <w:r>
              <w:rPr/>
              <w:t> </w:t>
            </w:r>
          </w:p>
        </w:tc>
      </w:tr>
      <w:tr>
        <w:trPr>
          <w:trHeight w:val="120" w:hRule="atLeast"/>
        </w:trPr>
        <w:tc>
          <w:tcPr>
            <w:tcW w:w="1526" w:type="dxa"/>
            <w:tcBorders/>
            <w:vAlign w:val="center"/>
          </w:tcPr>
          <w:p>
            <w:pPr>
              <w:pStyle w:val="TableContents"/>
              <w:bidi w:val="0"/>
              <w:spacing w:before="0" w:after="283"/>
              <w:jc w:val="left"/>
              <w:rPr>
                <w:sz w:val="4"/>
                <w:szCs w:val="4"/>
              </w:rPr>
            </w:pPr>
            <w:r>
              <w:rPr>
                <w:sz w:val="4"/>
                <w:szCs w:val="4"/>
              </w:rPr>
            </w:r>
          </w:p>
        </w:tc>
        <w:tc>
          <w:tcPr>
            <w:tcW w:w="801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Payment of Notes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Maintenance of Office or Agency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Financial Statements, Reports, etc Furnish to the Trustee and each Holder: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Litigation and Other Notices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Existence; Properties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Insurance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Taxes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Employee Benefits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Maintaining Records; Access to Properties and Inspections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Use of Proceeds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Compliance with Environmental Laws; Environmental Reports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Additional Collateral; Additional Guarantors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Security Interests; Further Assurances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Maintenance of Ratings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Compliance with Law</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Anti-Terrorism; Sanctions; Anti-Corruption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DIP Financing Right of First Offer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NEGATIVE COVENANTS</w:t>
            </w:r>
          </w:p>
        </w:tc>
        <w:tc>
          <w:tcPr>
            <w:tcW w:w="64" w:type="dxa"/>
            <w:tcBorders/>
          </w:tcPr>
          <w:p>
            <w:pPr>
              <w:pStyle w:val="TableContents"/>
              <w:bidi w:val="0"/>
              <w:spacing w:before="0" w:after="0"/>
              <w:jc w:val="left"/>
              <w:rPr/>
            </w:pPr>
            <w:r>
              <w:rPr/>
              <w:t> </w:t>
            </w:r>
          </w:p>
        </w:tc>
      </w:tr>
      <w:tr>
        <w:trPr>
          <w:trHeight w:val="120" w:hRule="atLeast"/>
        </w:trPr>
        <w:tc>
          <w:tcPr>
            <w:tcW w:w="1526" w:type="dxa"/>
            <w:tcBorders/>
            <w:vAlign w:val="center"/>
          </w:tcPr>
          <w:p>
            <w:pPr>
              <w:pStyle w:val="TableContents"/>
              <w:bidi w:val="0"/>
              <w:spacing w:before="0" w:after="283"/>
              <w:jc w:val="left"/>
              <w:rPr>
                <w:sz w:val="4"/>
                <w:szCs w:val="4"/>
              </w:rPr>
            </w:pPr>
            <w:r>
              <w:rPr>
                <w:sz w:val="4"/>
                <w:szCs w:val="4"/>
              </w:rPr>
            </w:r>
          </w:p>
        </w:tc>
        <w:tc>
          <w:tcPr>
            <w:tcW w:w="801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Indebtedness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Liens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526"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8" w:type="dxa"/>
            <w:tcBorders/>
            <w:vAlign w:val="bottom"/>
          </w:tcPr>
          <w:p>
            <w:pPr>
              <w:pStyle w:val="TableContents"/>
              <w:bidi w:val="0"/>
              <w:spacing w:before="0" w:after="283"/>
              <w:jc w:val="left"/>
              <w:rPr/>
            </w:pPr>
            <w:r>
              <w:rPr/>
              <w:t> </w:t>
            </w:r>
          </w:p>
        </w:tc>
        <w:tc>
          <w:tcPr>
            <w:tcW w:w="7895" w:type="dxa"/>
            <w:tcBorders/>
            <w:vAlign w:val="bottom"/>
          </w:tcPr>
          <w:p>
            <w:pPr>
              <w:pStyle w:val="TableContents"/>
              <w:bidi w:val="0"/>
              <w:spacing w:before="0" w:after="283"/>
              <w:jc w:val="left"/>
              <w:rPr/>
            </w:pPr>
            <w:r>
              <w:rPr/>
              <w:t>Investments, Loans and Advances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24"/>
        <w:gridCol w:w="118"/>
        <w:gridCol w:w="7899"/>
        <w:gridCol w:w="153"/>
        <w:gridCol w:w="60"/>
        <w:gridCol w:w="387"/>
        <w:gridCol w:w="64"/>
      </w:tblGrid>
      <w:tr>
        <w:trPr/>
        <w:tc>
          <w:tcPr>
            <w:tcW w:w="152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89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Mergers and Consolidations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Asset Sales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Dividends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Transactions with Affiliates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Financial Covenants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Prepayments of Certain Indebtedness; Modifications of Organizational Documents and Other Documents, etc</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No Further Negative Pledge; Subsidiary Distributions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Nature of Business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Fiscal Year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Hedging Obligations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GUARANTEE</w:t>
            </w:r>
          </w:p>
        </w:tc>
        <w:tc>
          <w:tcPr>
            <w:tcW w:w="64" w:type="dxa"/>
            <w:tcBorders/>
          </w:tcPr>
          <w:p>
            <w:pPr>
              <w:pStyle w:val="TableContents"/>
              <w:bidi w:val="0"/>
              <w:spacing w:before="0" w:after="0"/>
              <w:jc w:val="left"/>
              <w:rPr/>
            </w:pPr>
            <w:r>
              <w:rPr/>
              <w:t> </w:t>
            </w:r>
          </w:p>
        </w:tc>
      </w:tr>
      <w:tr>
        <w:trPr>
          <w:trHeight w:val="120" w:hRule="atLeast"/>
        </w:trPr>
        <w:tc>
          <w:tcPr>
            <w:tcW w:w="1524" w:type="dxa"/>
            <w:tcBorders/>
            <w:vAlign w:val="center"/>
          </w:tcPr>
          <w:p>
            <w:pPr>
              <w:pStyle w:val="TableContents"/>
              <w:bidi w:val="0"/>
              <w:spacing w:before="0" w:after="283"/>
              <w:jc w:val="left"/>
              <w:rPr>
                <w:sz w:val="4"/>
                <w:szCs w:val="4"/>
              </w:rPr>
            </w:pPr>
            <w:r>
              <w:rPr>
                <w:sz w:val="4"/>
                <w:szCs w:val="4"/>
              </w:rPr>
            </w:r>
          </w:p>
        </w:tc>
        <w:tc>
          <w:tcPr>
            <w:tcW w:w="801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Guarantees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Execution and Delivery of Guarantee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Severability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Limitation of Guarantors’ Liability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Releases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Benefits Acknowledged</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VIII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EVENTS OF DEFAULT</w:t>
            </w:r>
          </w:p>
        </w:tc>
        <w:tc>
          <w:tcPr>
            <w:tcW w:w="64" w:type="dxa"/>
            <w:tcBorders/>
          </w:tcPr>
          <w:p>
            <w:pPr>
              <w:pStyle w:val="TableContents"/>
              <w:bidi w:val="0"/>
              <w:spacing w:before="0" w:after="0"/>
              <w:jc w:val="left"/>
              <w:rPr/>
            </w:pPr>
            <w:r>
              <w:rPr/>
              <w:t> </w:t>
            </w:r>
          </w:p>
        </w:tc>
      </w:tr>
      <w:tr>
        <w:trPr>
          <w:trHeight w:val="120" w:hRule="atLeast"/>
        </w:trPr>
        <w:tc>
          <w:tcPr>
            <w:tcW w:w="1524" w:type="dxa"/>
            <w:tcBorders/>
            <w:vAlign w:val="center"/>
          </w:tcPr>
          <w:p>
            <w:pPr>
              <w:pStyle w:val="TableContents"/>
              <w:bidi w:val="0"/>
              <w:spacing w:before="0" w:after="283"/>
              <w:jc w:val="left"/>
              <w:rPr>
                <w:sz w:val="4"/>
                <w:szCs w:val="4"/>
              </w:rPr>
            </w:pPr>
            <w:r>
              <w:rPr>
                <w:sz w:val="4"/>
                <w:szCs w:val="4"/>
              </w:rPr>
            </w:r>
          </w:p>
        </w:tc>
        <w:tc>
          <w:tcPr>
            <w:tcW w:w="801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Events of Default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Other Remedies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Waiver of Past Defaults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Control by Majority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Limitation on Suits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Rights of Holders of Notes to Receive Payment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Collection Suit by Trustee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Trustee May File Proofs of Claim</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Application of Proceeds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Equity Cure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IX</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THE TRUSTEE AND AGENTS</w:t>
            </w:r>
          </w:p>
        </w:tc>
        <w:tc>
          <w:tcPr>
            <w:tcW w:w="64" w:type="dxa"/>
            <w:tcBorders/>
          </w:tcPr>
          <w:p>
            <w:pPr>
              <w:pStyle w:val="TableContents"/>
              <w:bidi w:val="0"/>
              <w:spacing w:before="0" w:after="0"/>
              <w:jc w:val="left"/>
              <w:rPr/>
            </w:pPr>
            <w:r>
              <w:rPr/>
              <w:t> </w:t>
            </w:r>
          </w:p>
        </w:tc>
      </w:tr>
      <w:tr>
        <w:trPr>
          <w:trHeight w:val="120" w:hRule="atLeast"/>
        </w:trPr>
        <w:tc>
          <w:tcPr>
            <w:tcW w:w="1524" w:type="dxa"/>
            <w:tcBorders/>
            <w:vAlign w:val="center"/>
          </w:tcPr>
          <w:p>
            <w:pPr>
              <w:pStyle w:val="TableContents"/>
              <w:bidi w:val="0"/>
              <w:spacing w:before="0" w:after="283"/>
              <w:jc w:val="left"/>
              <w:rPr>
                <w:sz w:val="4"/>
                <w:szCs w:val="4"/>
              </w:rPr>
            </w:pPr>
            <w:r>
              <w:rPr>
                <w:sz w:val="4"/>
                <w:szCs w:val="4"/>
              </w:rPr>
            </w:r>
          </w:p>
        </w:tc>
        <w:tc>
          <w:tcPr>
            <w:tcW w:w="8017" w:type="dxa"/>
            <w:gridSpan w:val="2"/>
            <w:tcBorders/>
            <w:vAlign w:val="center"/>
          </w:tcPr>
          <w:p>
            <w:pPr>
              <w:pStyle w:val="TableContents"/>
              <w:bidi w:val="0"/>
              <w:spacing w:before="0" w:after="283"/>
              <w:jc w:val="left"/>
              <w:rPr>
                <w:sz w:val="4"/>
                <w:szCs w:val="4"/>
              </w:rPr>
            </w:pPr>
            <w:r>
              <w:rPr>
                <w:sz w:val="4"/>
                <w:szCs w:val="4"/>
              </w:rPr>
            </w:r>
          </w:p>
        </w:tc>
        <w:tc>
          <w:tcPr>
            <w:tcW w:w="664" w:type="dxa"/>
            <w:gridSpan w:val="4"/>
            <w:tcBorders/>
            <w:vAlign w:val="center"/>
          </w:tcPr>
          <w:p>
            <w:pPr>
              <w:pStyle w:val="TableContents"/>
              <w:bidi w:val="0"/>
              <w:spacing w:before="0" w:after="283"/>
              <w:jc w:val="left"/>
              <w:rPr>
                <w:sz w:val="4"/>
                <w:szCs w:val="4"/>
              </w:rPr>
            </w:pPr>
            <w:r>
              <w:rPr>
                <w:sz w:val="4"/>
                <w:szCs w:val="4"/>
              </w:rPr>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Duties of Trustee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Rights of Trustee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Individual Rights of the Trustee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Trustee’s Disclaimer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Notice of Defaults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Compensation and Indemnity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Replacement of Trustee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18" w:type="dxa"/>
            <w:tcBorders/>
            <w:vAlign w:val="bottom"/>
          </w:tcPr>
          <w:p>
            <w:pPr>
              <w:pStyle w:val="TableContents"/>
              <w:bidi w:val="0"/>
              <w:spacing w:before="0" w:after="283"/>
              <w:jc w:val="left"/>
              <w:rPr/>
            </w:pPr>
            <w:r>
              <w:rPr/>
              <w:t> </w:t>
            </w:r>
          </w:p>
        </w:tc>
        <w:tc>
          <w:tcPr>
            <w:tcW w:w="7899" w:type="dxa"/>
            <w:tcBorders/>
            <w:vAlign w:val="bottom"/>
          </w:tcPr>
          <w:p>
            <w:pPr>
              <w:pStyle w:val="TableContents"/>
              <w:bidi w:val="0"/>
              <w:spacing w:before="0" w:after="283"/>
              <w:jc w:val="left"/>
              <w:rPr/>
            </w:pPr>
            <w:r>
              <w:rPr/>
              <w:t>Successor Trustee by Merger, Etc.</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64"/>
        <w:gridCol w:w="117"/>
        <w:gridCol w:w="7870"/>
        <w:gridCol w:w="150"/>
        <w:gridCol w:w="60"/>
        <w:gridCol w:w="380"/>
        <w:gridCol w:w="64"/>
      </w:tblGrid>
      <w:tr>
        <w:trPr/>
        <w:tc>
          <w:tcPr>
            <w:tcW w:w="156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87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Eligibility; Disqualification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Appointment of Authenticating Agent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The Calculation Agent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COLLATERAL</w:t>
            </w:r>
          </w:p>
        </w:tc>
        <w:tc>
          <w:tcPr>
            <w:tcW w:w="64" w:type="dxa"/>
            <w:tcBorders/>
          </w:tcPr>
          <w:p>
            <w:pPr>
              <w:pStyle w:val="TableContents"/>
              <w:bidi w:val="0"/>
              <w:spacing w:before="0" w:after="0"/>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The Collateral</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Maintenance of Collateral; Further Assurances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Release of Liens on the Collateral</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Authorization of Actions to be Taken by the Trustee or the Collateral Agent Under the Security Documents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138</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Notes Collateral Account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Information Regarding Collateral</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Regarding the Collateral Agent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DEFEASANCE; DISCHARGE OF THIS INDENTURE</w:t>
            </w:r>
          </w:p>
        </w:tc>
        <w:tc>
          <w:tcPr>
            <w:tcW w:w="64" w:type="dxa"/>
            <w:tcBorders/>
          </w:tcPr>
          <w:p>
            <w:pPr>
              <w:pStyle w:val="TableContents"/>
              <w:bidi w:val="0"/>
              <w:spacing w:before="0" w:after="0"/>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Option to Effect Legal Defeasance or Covenant Defeasance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Legal Defeasance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Covenant Defeasance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143</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Conditions to Legal or Covenant Defeasance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144</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Deposited Money and U.S. Government Obligations to Be Held in Trust, Other Miscellaneous Provisions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145</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Repayment to Issuer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Reinstatement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Discharge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XII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AMENDMENT, SUPPLEMENT AND WAIVER</w:t>
            </w:r>
          </w:p>
        </w:tc>
        <w:tc>
          <w:tcPr>
            <w:tcW w:w="64" w:type="dxa"/>
            <w:tcBorders/>
          </w:tcPr>
          <w:p>
            <w:pPr>
              <w:pStyle w:val="TableContents"/>
              <w:bidi w:val="0"/>
              <w:spacing w:before="0" w:after="0"/>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Without Consent of Holders of the Notes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With Consent of Holders of Notes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Revocation and Effect of Consents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Notation on or Exchange of Notes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Trustee to Sign Amendments, Etc.</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12.06</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Officer’s Certificate and Opinion of Counsel</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XIII</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MISCELLANEOUS</w:t>
            </w:r>
          </w:p>
        </w:tc>
        <w:tc>
          <w:tcPr>
            <w:tcW w:w="64" w:type="dxa"/>
            <w:tcBorders/>
          </w:tcPr>
          <w:p>
            <w:pPr>
              <w:pStyle w:val="TableContents"/>
              <w:bidi w:val="0"/>
              <w:spacing w:before="0" w:after="0"/>
              <w:jc w:val="left"/>
              <w:rPr/>
            </w:pPr>
            <w:r>
              <w:rPr/>
              <w:t> </w:t>
            </w:r>
          </w:p>
        </w:tc>
      </w:tr>
      <w:tr>
        <w:trPr>
          <w:trHeight w:val="120" w:hRule="atLeast"/>
        </w:trPr>
        <w:tc>
          <w:tcPr>
            <w:tcW w:w="1564" w:type="dxa"/>
            <w:tcBorders/>
            <w:vAlign w:val="center"/>
          </w:tcPr>
          <w:p>
            <w:pPr>
              <w:pStyle w:val="TableContents"/>
              <w:bidi w:val="0"/>
              <w:spacing w:before="0" w:after="283"/>
              <w:jc w:val="left"/>
              <w:rPr>
                <w:sz w:val="4"/>
                <w:szCs w:val="4"/>
              </w:rPr>
            </w:pPr>
            <w:r>
              <w:rPr>
                <w:sz w:val="4"/>
                <w:szCs w:val="4"/>
              </w:rPr>
            </w:r>
          </w:p>
        </w:tc>
        <w:tc>
          <w:tcPr>
            <w:tcW w:w="7987" w:type="dxa"/>
            <w:gridSpan w:val="2"/>
            <w:tcBorders/>
            <w:vAlign w:val="center"/>
          </w:tcPr>
          <w:p>
            <w:pPr>
              <w:pStyle w:val="TableContents"/>
              <w:bidi w:val="0"/>
              <w:spacing w:before="0" w:after="283"/>
              <w:jc w:val="left"/>
              <w:rPr>
                <w:sz w:val="4"/>
                <w:szCs w:val="4"/>
              </w:rPr>
            </w:pPr>
            <w:r>
              <w:rPr>
                <w:sz w:val="4"/>
                <w:szCs w:val="4"/>
              </w:rPr>
            </w:r>
          </w:p>
        </w:tc>
        <w:tc>
          <w:tcPr>
            <w:tcW w:w="654" w:type="dxa"/>
            <w:gridSpan w:val="4"/>
            <w:tcBorders/>
            <w:vAlign w:val="center"/>
          </w:tcPr>
          <w:p>
            <w:pPr>
              <w:pStyle w:val="TableContents"/>
              <w:bidi w:val="0"/>
              <w:spacing w:before="0" w:after="283"/>
              <w:jc w:val="left"/>
              <w:rPr>
                <w:sz w:val="4"/>
                <w:szCs w:val="4"/>
              </w:rPr>
            </w:pPr>
            <w:r>
              <w:rPr>
                <w:sz w:val="4"/>
                <w:szCs w:val="4"/>
              </w:rPr>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Concerning the Trust Indenture Act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Notices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Certificate and Opinion as to Conditions Precedent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Statements Required in Certificate or Opinion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154</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Rules by Trustee and Agents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155</w:t>
            </w:r>
          </w:p>
        </w:tc>
        <w:tc>
          <w:tcPr>
            <w:tcW w:w="64" w:type="dxa"/>
            <w:tcBorders/>
            <w:vAlign w:val="bottom"/>
          </w:tcPr>
          <w:p>
            <w:pPr>
              <w:pStyle w:val="TableContents"/>
              <w:bidi w:val="0"/>
              <w:spacing w:before="0" w:after="283"/>
              <w:jc w:val="left"/>
              <w:rPr/>
            </w:pPr>
            <w:r>
              <w:rPr/>
              <w:t> </w:t>
            </w:r>
          </w:p>
        </w:tc>
      </w:tr>
      <w:tr>
        <w:trPr/>
        <w:tc>
          <w:tcPr>
            <w:tcW w:w="15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17" w:type="dxa"/>
            <w:tcBorders/>
            <w:vAlign w:val="bottom"/>
          </w:tcPr>
          <w:p>
            <w:pPr>
              <w:pStyle w:val="TableContents"/>
              <w:bidi w:val="0"/>
              <w:spacing w:before="0" w:after="283"/>
              <w:jc w:val="left"/>
              <w:rPr/>
            </w:pPr>
            <w:r>
              <w:rPr/>
              <w:t> </w:t>
            </w:r>
          </w:p>
        </w:tc>
        <w:tc>
          <w:tcPr>
            <w:tcW w:w="7870" w:type="dxa"/>
            <w:tcBorders/>
            <w:vAlign w:val="bottom"/>
          </w:tcPr>
          <w:p>
            <w:pPr>
              <w:pStyle w:val="TableContents"/>
              <w:bidi w:val="0"/>
              <w:spacing w:before="0" w:after="283"/>
              <w:jc w:val="left"/>
              <w:rPr/>
            </w:pPr>
            <w:r>
              <w:rPr/>
              <w:t>No Personal Liability of Directors, Officers, Employees and Stockholders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155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78"/>
        <w:gridCol w:w="118"/>
        <w:gridCol w:w="7849"/>
        <w:gridCol w:w="152"/>
        <w:gridCol w:w="60"/>
        <w:gridCol w:w="384"/>
        <w:gridCol w:w="64"/>
      </w:tblGrid>
      <w:tr>
        <w:trPr/>
        <w:tc>
          <w:tcPr>
            <w:tcW w:w="157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84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Governing Law; Consent to Jurisdiction; Waiver of Jury Trial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156</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No Adverse Interpretation of Other Agreements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156</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Successors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156</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Severability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156</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Execution in Counterparts; Electronic Signature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156</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Table of Contents, Headings, Etc</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Force Majeure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Legal Holidays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13.15</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Benefit of the Indenture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13.16</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Controlling Party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157</w:t>
            </w:r>
          </w:p>
        </w:tc>
        <w:tc>
          <w:tcPr>
            <w:tcW w:w="64" w:type="dxa"/>
            <w:tcBorders/>
            <w:vAlign w:val="bottom"/>
          </w:tcPr>
          <w:p>
            <w:pPr>
              <w:pStyle w:val="TableContents"/>
              <w:bidi w:val="0"/>
              <w:spacing w:before="0" w:after="283"/>
              <w:jc w:val="left"/>
              <w:rPr/>
            </w:pPr>
            <w:r>
              <w:rPr/>
              <w:t> </w:t>
            </w:r>
          </w:p>
        </w:tc>
      </w:tr>
      <w:tr>
        <w:trPr/>
        <w:tc>
          <w:tcPr>
            <w:tcW w:w="1578" w:type="dxa"/>
            <w:tcBorders/>
          </w:tcPr>
          <w:p>
            <w:pPr>
              <w:pStyle w:val="TableContents"/>
              <w:bidi w:val="0"/>
              <w:spacing w:before="0" w:after="0"/>
              <w:jc w:val="left"/>
              <w:rPr>
                <w:rFonts w:ascii="Times New Roman" w:hAnsi="Times New Roman"/>
                <w:sz w:val="20"/>
              </w:rPr>
            </w:pPr>
            <w:r>
              <w:rPr>
                <w:rFonts w:ascii="Times New Roman" w:hAnsi="Times New Roman"/>
                <w:sz w:val="20"/>
              </w:rPr>
              <w:t>Section 13.17</w:t>
            </w:r>
          </w:p>
        </w:tc>
        <w:tc>
          <w:tcPr>
            <w:tcW w:w="118" w:type="dxa"/>
            <w:tcBorders/>
            <w:vAlign w:val="bottom"/>
          </w:tcPr>
          <w:p>
            <w:pPr>
              <w:pStyle w:val="TableContents"/>
              <w:bidi w:val="0"/>
              <w:spacing w:before="0" w:after="283"/>
              <w:jc w:val="left"/>
              <w:rPr/>
            </w:pPr>
            <w:r>
              <w:rPr/>
              <w:t> </w:t>
            </w:r>
          </w:p>
        </w:tc>
        <w:tc>
          <w:tcPr>
            <w:tcW w:w="7849" w:type="dxa"/>
            <w:tcBorders/>
            <w:vAlign w:val="bottom"/>
          </w:tcPr>
          <w:p>
            <w:pPr>
              <w:pStyle w:val="TableContents"/>
              <w:bidi w:val="0"/>
              <w:spacing w:before="0" w:after="283"/>
              <w:jc w:val="left"/>
              <w:rPr/>
            </w:pPr>
            <w:r>
              <w:rPr/>
              <w:t>Amendment and Restatement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right"/>
              <w:rPr/>
            </w:pPr>
            <w:r>
              <w:rPr/>
              <w:t>158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ANNEXES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13"/>
        <w:gridCol w:w="122"/>
        <w:gridCol w:w="8370"/>
      </w:tblGrid>
      <w:tr>
        <w:trPr/>
        <w:tc>
          <w:tcPr>
            <w:tcW w:w="171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370" w:type="dxa"/>
            <w:tcBorders/>
            <w:vAlign w:val="center"/>
          </w:tcPr>
          <w:p>
            <w:pPr>
              <w:pStyle w:val="TableContents"/>
              <w:bidi w:val="0"/>
              <w:spacing w:before="0" w:after="283"/>
              <w:jc w:val="left"/>
              <w:rPr>
                <w:sz w:val="4"/>
                <w:szCs w:val="4"/>
              </w:rPr>
            </w:pPr>
            <w:r>
              <w:rPr>
                <w:sz w:val="4"/>
                <w:szCs w:val="4"/>
              </w:rPr>
            </w:r>
          </w:p>
        </w:tc>
      </w:tr>
      <w:tr>
        <w:trPr/>
        <w:tc>
          <w:tcPr>
            <w:tcW w:w="1713" w:type="dxa"/>
            <w:tcBorders/>
          </w:tcPr>
          <w:p>
            <w:pPr>
              <w:pStyle w:val="TableContents"/>
              <w:bidi w:val="0"/>
              <w:spacing w:before="0" w:after="283"/>
              <w:jc w:val="left"/>
              <w:rPr/>
            </w:pPr>
            <w:r>
              <w:rPr/>
              <w:t>Appendix A</w:t>
            </w:r>
          </w:p>
        </w:tc>
        <w:tc>
          <w:tcPr>
            <w:tcW w:w="122" w:type="dxa"/>
            <w:tcBorders/>
            <w:vAlign w:val="bottom"/>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Provisions Relating to Initial Notes, PIK Notes and Additional Notes</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9"/>
        <w:gridCol w:w="121"/>
        <w:gridCol w:w="8335"/>
      </w:tblGrid>
      <w:tr>
        <w:trPr/>
        <w:tc>
          <w:tcPr>
            <w:tcW w:w="17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35" w:type="dxa"/>
            <w:tcBorders/>
            <w:vAlign w:val="center"/>
          </w:tcPr>
          <w:p>
            <w:pPr>
              <w:pStyle w:val="TableContents"/>
              <w:bidi w:val="0"/>
              <w:spacing w:before="0" w:after="283"/>
              <w:jc w:val="left"/>
              <w:rPr>
                <w:sz w:val="4"/>
                <w:szCs w:val="4"/>
              </w:rPr>
            </w:pPr>
            <w:r>
              <w:rPr>
                <w:sz w:val="4"/>
                <w:szCs w:val="4"/>
              </w:rPr>
            </w:r>
          </w:p>
        </w:tc>
      </w:tr>
      <w:tr>
        <w:trPr/>
        <w:tc>
          <w:tcPr>
            <w:tcW w:w="1749" w:type="dxa"/>
            <w:tcBorders/>
          </w:tcPr>
          <w:p>
            <w:pPr>
              <w:pStyle w:val="TableContents"/>
              <w:bidi w:val="0"/>
              <w:spacing w:before="0" w:after="283"/>
              <w:jc w:val="left"/>
              <w:rPr/>
            </w:pPr>
            <w:r>
              <w:rPr/>
              <w:t>Schedule 1.01(a)</w:t>
            </w:r>
          </w:p>
        </w:tc>
        <w:tc>
          <w:tcPr>
            <w:tcW w:w="121"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r>
              <w:rPr/>
              <w:t>Specified Holders</w:t>
            </w:r>
          </w:p>
        </w:tc>
      </w:tr>
      <w:tr>
        <w:trPr/>
        <w:tc>
          <w:tcPr>
            <w:tcW w:w="1749" w:type="dxa"/>
            <w:tcBorders/>
          </w:tcPr>
          <w:p>
            <w:pPr>
              <w:pStyle w:val="TableContents"/>
              <w:bidi w:val="0"/>
              <w:spacing w:before="0" w:after="283"/>
              <w:jc w:val="left"/>
              <w:rPr/>
            </w:pPr>
            <w:r>
              <w:rPr/>
              <w:t>Schedule 1.01(b)</w:t>
            </w:r>
          </w:p>
        </w:tc>
        <w:tc>
          <w:tcPr>
            <w:tcW w:w="121"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r>
              <w:rPr/>
              <w:t>Specified Letters of Credit</w:t>
            </w:r>
          </w:p>
        </w:tc>
      </w:tr>
      <w:tr>
        <w:trPr/>
        <w:tc>
          <w:tcPr>
            <w:tcW w:w="1749" w:type="dxa"/>
            <w:tcBorders/>
          </w:tcPr>
          <w:p>
            <w:pPr>
              <w:pStyle w:val="TableContents"/>
              <w:bidi w:val="0"/>
              <w:spacing w:before="0" w:after="283"/>
              <w:jc w:val="left"/>
              <w:rPr/>
            </w:pPr>
            <w:r>
              <w:rPr/>
              <w:t>Schedule 6.01(b)</w:t>
            </w:r>
          </w:p>
        </w:tc>
        <w:tc>
          <w:tcPr>
            <w:tcW w:w="121"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r>
              <w:rPr/>
              <w:t>Existing Indebtedness</w:t>
            </w:r>
          </w:p>
        </w:tc>
      </w:tr>
      <w:tr>
        <w:trPr/>
        <w:tc>
          <w:tcPr>
            <w:tcW w:w="1749" w:type="dxa"/>
            <w:tcBorders/>
          </w:tcPr>
          <w:p>
            <w:pPr>
              <w:pStyle w:val="TableContents"/>
              <w:bidi w:val="0"/>
              <w:spacing w:before="0" w:after="283"/>
              <w:jc w:val="left"/>
              <w:rPr/>
            </w:pPr>
            <w:r>
              <w:rPr/>
              <w:t>Schedule 6.02(c)</w:t>
            </w:r>
          </w:p>
        </w:tc>
        <w:tc>
          <w:tcPr>
            <w:tcW w:w="121"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r>
              <w:rPr/>
              <w:t>Existing Liens</w:t>
            </w:r>
          </w:p>
        </w:tc>
      </w:tr>
      <w:tr>
        <w:trPr/>
        <w:tc>
          <w:tcPr>
            <w:tcW w:w="1749" w:type="dxa"/>
            <w:tcBorders/>
          </w:tcPr>
          <w:p>
            <w:pPr>
              <w:pStyle w:val="TableContents"/>
              <w:bidi w:val="0"/>
              <w:spacing w:before="0" w:after="283"/>
              <w:jc w:val="left"/>
              <w:rPr/>
            </w:pPr>
            <w:r>
              <w:rPr/>
              <w:t>Schedule 6.03(b)</w:t>
            </w:r>
          </w:p>
        </w:tc>
        <w:tc>
          <w:tcPr>
            <w:tcW w:w="121"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r>
              <w:rPr/>
              <w:t>Existing Investments</w:t>
            </w:r>
          </w:p>
        </w:tc>
      </w:tr>
      <w:tr>
        <w:trPr/>
        <w:tc>
          <w:tcPr>
            <w:tcW w:w="1749" w:type="dxa"/>
            <w:tcBorders/>
          </w:tcPr>
          <w:p>
            <w:pPr>
              <w:pStyle w:val="TableContents"/>
              <w:bidi w:val="0"/>
              <w:spacing w:before="0" w:after="283"/>
              <w:jc w:val="left"/>
              <w:rPr/>
            </w:pPr>
            <w:r>
              <w:rPr/>
              <w:t>Schedule 6.07</w:t>
            </w:r>
          </w:p>
        </w:tc>
        <w:tc>
          <w:tcPr>
            <w:tcW w:w="121"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r>
              <w:rPr/>
              <w:t>Transactions with Affiliates</w:t>
            </w:r>
          </w:p>
        </w:tc>
      </w:tr>
      <w:tr>
        <w:trPr/>
        <w:tc>
          <w:tcPr>
            <w:tcW w:w="1749" w:type="dxa"/>
            <w:tcBorders/>
          </w:tcPr>
          <w:p>
            <w:pPr>
              <w:pStyle w:val="TableContents"/>
              <w:bidi w:val="0"/>
              <w:spacing w:before="0" w:after="283"/>
              <w:jc w:val="left"/>
              <w:rPr/>
            </w:pPr>
            <w:r>
              <w:rPr/>
              <w:t>Schedule 6.10</w:t>
            </w:r>
          </w:p>
        </w:tc>
        <w:tc>
          <w:tcPr>
            <w:tcW w:w="121"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r>
              <w:rPr/>
              <w:t>Burdensome Agreements</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1"/>
        <w:gridCol w:w="123"/>
        <w:gridCol w:w="8421"/>
      </w:tblGrid>
      <w:tr>
        <w:trPr/>
        <w:tc>
          <w:tcPr>
            <w:tcW w:w="16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421" w:type="dxa"/>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421" w:type="dxa"/>
            <w:tcBorders/>
          </w:tcPr>
          <w:p>
            <w:pPr>
              <w:pStyle w:val="TableContents"/>
              <w:bidi w:val="0"/>
              <w:spacing w:before="0" w:after="283"/>
              <w:jc w:val="left"/>
              <w:rPr/>
            </w:pPr>
            <w:r>
              <w:rPr/>
              <w:t>Form of Note</w:t>
            </w:r>
          </w:p>
        </w:tc>
      </w:tr>
      <w:tr>
        <w:trPr/>
        <w:tc>
          <w:tcPr>
            <w:tcW w:w="1661"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8421" w:type="dxa"/>
            <w:tcBorders/>
          </w:tcPr>
          <w:p>
            <w:pPr>
              <w:pStyle w:val="TableContents"/>
              <w:bidi w:val="0"/>
              <w:spacing w:before="0" w:after="283"/>
              <w:jc w:val="left"/>
              <w:rPr/>
            </w:pPr>
            <w:r>
              <w:rPr/>
              <w:t>Form of Transferee Letter of Representation for Transfers to IAI’s</w:t>
            </w:r>
          </w:p>
        </w:tc>
      </w:tr>
      <w:tr>
        <w:trPr/>
        <w:tc>
          <w:tcPr>
            <w:tcW w:w="1661"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421" w:type="dxa"/>
            <w:tcBorders/>
          </w:tcPr>
          <w:p>
            <w:pPr>
              <w:pStyle w:val="TableContents"/>
              <w:bidi w:val="0"/>
              <w:spacing w:before="0" w:after="283"/>
              <w:jc w:val="left"/>
              <w:rPr/>
            </w:pPr>
            <w:r>
              <w:rPr/>
              <w:t>Form of Compliance Certificate</w:t>
            </w:r>
          </w:p>
        </w:tc>
      </w:tr>
      <w:tr>
        <w:trPr/>
        <w:tc>
          <w:tcPr>
            <w:tcW w:w="1661"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8421" w:type="dxa"/>
            <w:tcBorders/>
          </w:tcPr>
          <w:p>
            <w:pPr>
              <w:pStyle w:val="TableContents"/>
              <w:bidi w:val="0"/>
              <w:spacing w:before="0" w:after="283"/>
              <w:jc w:val="left"/>
              <w:rPr/>
            </w:pPr>
            <w:r>
              <w:rPr/>
              <w:t>Form of Interest Election Request</w:t>
            </w:r>
          </w:p>
        </w:tc>
      </w:tr>
      <w:tr>
        <w:trPr/>
        <w:tc>
          <w:tcPr>
            <w:tcW w:w="1661" w:type="dxa"/>
            <w:tcBorders/>
          </w:tcPr>
          <w:p>
            <w:pPr>
              <w:pStyle w:val="TableContents"/>
              <w:bidi w:val="0"/>
              <w:spacing w:before="0" w:after="283"/>
              <w:jc w:val="left"/>
              <w:rPr/>
            </w:pPr>
            <w:r>
              <w:rPr/>
              <w:t>Exhibit E</w:t>
            </w:r>
          </w:p>
        </w:tc>
        <w:tc>
          <w:tcPr>
            <w:tcW w:w="123" w:type="dxa"/>
            <w:tcBorders/>
            <w:vAlign w:val="bottom"/>
          </w:tcPr>
          <w:p>
            <w:pPr>
              <w:pStyle w:val="TableContents"/>
              <w:bidi w:val="0"/>
              <w:spacing w:before="0" w:after="283"/>
              <w:jc w:val="left"/>
              <w:rPr/>
            </w:pPr>
            <w:r>
              <w:rPr/>
              <w:t>  </w:t>
            </w:r>
          </w:p>
        </w:tc>
        <w:tc>
          <w:tcPr>
            <w:tcW w:w="8421" w:type="dxa"/>
            <w:tcBorders/>
          </w:tcPr>
          <w:p>
            <w:pPr>
              <w:pStyle w:val="TableContents"/>
              <w:bidi w:val="0"/>
              <w:spacing w:before="0" w:after="283"/>
              <w:jc w:val="left"/>
              <w:rPr/>
            </w:pPr>
            <w:r>
              <w:rPr/>
              <w:t>Form of PIK Interest Election Notice</w:t>
            </w:r>
          </w:p>
        </w:tc>
      </w:tr>
      <w:tr>
        <w:trPr/>
        <w:tc>
          <w:tcPr>
            <w:tcW w:w="1661" w:type="dxa"/>
            <w:tcBorders/>
          </w:tcPr>
          <w:p>
            <w:pPr>
              <w:pStyle w:val="TableContents"/>
              <w:bidi w:val="0"/>
              <w:spacing w:before="0" w:after="283"/>
              <w:jc w:val="left"/>
              <w:rPr/>
            </w:pPr>
            <w:r>
              <w:rPr/>
              <w:t>Exhibit F</w:t>
            </w:r>
          </w:p>
        </w:tc>
        <w:tc>
          <w:tcPr>
            <w:tcW w:w="123" w:type="dxa"/>
            <w:tcBorders/>
            <w:vAlign w:val="bottom"/>
          </w:tcPr>
          <w:p>
            <w:pPr>
              <w:pStyle w:val="TableContents"/>
              <w:bidi w:val="0"/>
              <w:spacing w:before="0" w:after="283"/>
              <w:jc w:val="left"/>
              <w:rPr/>
            </w:pPr>
            <w:r>
              <w:rPr/>
              <w:t>  </w:t>
            </w:r>
          </w:p>
        </w:tc>
        <w:tc>
          <w:tcPr>
            <w:tcW w:w="8421" w:type="dxa"/>
            <w:tcBorders/>
          </w:tcPr>
          <w:p>
            <w:pPr>
              <w:pStyle w:val="TableContents"/>
              <w:bidi w:val="0"/>
              <w:spacing w:before="0" w:after="283"/>
              <w:jc w:val="left"/>
              <w:rPr/>
            </w:pPr>
            <w:r>
              <w:rPr/>
              <w:t>Form of Supplemental Indenture</w:t>
            </w:r>
          </w:p>
        </w:tc>
      </w:tr>
      <w:tr>
        <w:trPr/>
        <w:tc>
          <w:tcPr>
            <w:tcW w:w="1661" w:type="dxa"/>
            <w:tcBorders/>
          </w:tcPr>
          <w:p>
            <w:pPr>
              <w:pStyle w:val="TableContents"/>
              <w:bidi w:val="0"/>
              <w:spacing w:before="0" w:after="283"/>
              <w:jc w:val="left"/>
              <w:rPr/>
            </w:pPr>
            <w:r>
              <w:rPr/>
              <w:t>Exhibit G</w:t>
            </w:r>
          </w:p>
        </w:tc>
        <w:tc>
          <w:tcPr>
            <w:tcW w:w="123" w:type="dxa"/>
            <w:tcBorders/>
            <w:vAlign w:val="bottom"/>
          </w:tcPr>
          <w:p>
            <w:pPr>
              <w:pStyle w:val="TableContents"/>
              <w:bidi w:val="0"/>
              <w:spacing w:before="0" w:after="283"/>
              <w:jc w:val="left"/>
              <w:rPr/>
            </w:pPr>
            <w:r>
              <w:rPr/>
              <w:t>  </w:t>
            </w:r>
          </w:p>
        </w:tc>
        <w:tc>
          <w:tcPr>
            <w:tcW w:w="8421" w:type="dxa"/>
            <w:tcBorders/>
          </w:tcPr>
          <w:p>
            <w:pPr>
              <w:pStyle w:val="TableContents"/>
              <w:bidi w:val="0"/>
              <w:spacing w:before="0" w:after="283"/>
              <w:jc w:val="left"/>
              <w:rPr/>
            </w:pPr>
            <w:r>
              <w:rPr/>
              <w:t>Form of Security Agreement</w:t>
            </w:r>
          </w:p>
        </w:tc>
      </w:tr>
      <w:tr>
        <w:trPr/>
        <w:tc>
          <w:tcPr>
            <w:tcW w:w="1661" w:type="dxa"/>
            <w:tcBorders/>
          </w:tcPr>
          <w:p>
            <w:pPr>
              <w:pStyle w:val="TableContents"/>
              <w:bidi w:val="0"/>
              <w:spacing w:before="0" w:after="283"/>
              <w:jc w:val="left"/>
              <w:rPr/>
            </w:pPr>
            <w:r>
              <w:rPr/>
              <w:t>Exhibit H</w:t>
            </w:r>
          </w:p>
        </w:tc>
        <w:tc>
          <w:tcPr>
            <w:tcW w:w="123" w:type="dxa"/>
            <w:tcBorders/>
            <w:vAlign w:val="bottom"/>
          </w:tcPr>
          <w:p>
            <w:pPr>
              <w:pStyle w:val="TableContents"/>
              <w:bidi w:val="0"/>
              <w:spacing w:before="0" w:after="283"/>
              <w:jc w:val="left"/>
              <w:rPr/>
            </w:pPr>
            <w:r>
              <w:rPr/>
              <w:t>  </w:t>
            </w:r>
          </w:p>
        </w:tc>
        <w:tc>
          <w:tcPr>
            <w:tcW w:w="8421" w:type="dxa"/>
            <w:tcBorders/>
          </w:tcPr>
          <w:p>
            <w:pPr>
              <w:pStyle w:val="TableContents"/>
              <w:bidi w:val="0"/>
              <w:spacing w:before="0" w:after="283"/>
              <w:jc w:val="left"/>
              <w:rPr/>
            </w:pPr>
            <w:r>
              <w:rPr/>
              <w:t>Form of ABL/Note Intercreditor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AMENDED AND RESTATED</w:t>
      </w:r>
      <w:r>
        <w:rPr>
          <w:rFonts w:ascii="Times New Roman" w:hAnsi="Times New Roman"/>
          <w:sz w:val="20"/>
        </w:rPr>
        <w:t xml:space="preserve"> </w:t>
      </w:r>
      <w:r>
        <w:rPr>
          <w:rFonts w:ascii="Times New Roman" w:hAnsi="Times New Roman"/>
          <w:b/>
          <w:sz w:val="20"/>
        </w:rPr>
        <w:t>INDENTURE</w:t>
      </w:r>
      <w:r>
        <w:rPr>
          <w:rFonts w:ascii="Times New Roman" w:hAnsi="Times New Roman"/>
          <w:sz w:val="20"/>
        </w:rPr>
        <w:t xml:space="preserve"> (including all exhibits and schedules hereto, this “</w:t>
      </w:r>
      <w:r>
        <w:rPr>
          <w:rFonts w:ascii="Times New Roman" w:hAnsi="Times New Roman"/>
          <w:b/>
          <w:sz w:val="20"/>
        </w:rPr>
        <w:t>Indenture</w:t>
      </w:r>
      <w:r>
        <w:rPr>
          <w:rFonts w:ascii="Times New Roman" w:hAnsi="Times New Roman"/>
          <w:sz w:val="20"/>
        </w:rPr>
        <w:t xml:space="preserve">”), dated as of [__], 20[ ], is made by and among </w:t>
      </w:r>
      <w:r>
        <w:rPr>
          <w:rFonts w:ascii="Times New Roman" w:hAnsi="Times New Roman"/>
          <w:b/>
          <w:sz w:val="20"/>
        </w:rPr>
        <w:t>KLX ENERGY SERVICES HOLDINGS, INC.</w:t>
      </w:r>
      <w:r>
        <w:rPr>
          <w:rFonts w:ascii="Times New Roman" w:hAnsi="Times New Roman"/>
          <w:sz w:val="20"/>
        </w:rPr>
        <w:t>, a Delaware corporation (the “</w:t>
      </w:r>
      <w:r>
        <w:rPr>
          <w:rFonts w:ascii="Times New Roman" w:hAnsi="Times New Roman"/>
          <w:b/>
          <w:sz w:val="20"/>
        </w:rPr>
        <w:t>Issuer</w:t>
      </w:r>
      <w:r>
        <w:rPr>
          <w:rFonts w:ascii="Times New Roman" w:hAnsi="Times New Roman"/>
          <w:sz w:val="20"/>
        </w:rPr>
        <w:t xml:space="preserve">”), each of the Guarantors from time to time party hereto, and </w:t>
      </w:r>
      <w:r>
        <w:rPr>
          <w:rFonts w:ascii="Times New Roman" w:hAnsi="Times New Roman"/>
          <w:b/>
          <w:sz w:val="20"/>
        </w:rPr>
        <w:t>U.S. BANK TRUST COMPANY, NATIONAL ASSOCIATION</w:t>
      </w:r>
      <w:r>
        <w:rPr>
          <w:rFonts w:ascii="Times New Roman" w:hAnsi="Times New Roman"/>
          <w:sz w:val="20"/>
        </w:rPr>
        <w:t xml:space="preserve"> (“</w:t>
      </w:r>
      <w:r>
        <w:rPr>
          <w:rFonts w:ascii="Times New Roman" w:hAnsi="Times New Roman"/>
          <w:b/>
          <w:sz w:val="20"/>
        </w:rPr>
        <w:t>U.S. Bank</w:t>
      </w:r>
      <w:r>
        <w:rPr>
          <w:rFonts w:ascii="Times New Roman" w:hAnsi="Times New Roman"/>
          <w:sz w:val="20"/>
        </w:rPr>
        <w:t>”), as trustee (in such capacity, together with its successors and assigns, the “</w:t>
      </w:r>
      <w:r>
        <w:rPr>
          <w:rFonts w:ascii="Times New Roman" w:hAnsi="Times New Roman"/>
          <w:b/>
          <w:sz w:val="20"/>
        </w:rPr>
        <w:t>Trustee</w:t>
      </w:r>
      <w:r>
        <w:rPr>
          <w:rFonts w:ascii="Times New Roman" w:hAnsi="Times New Roman"/>
          <w:sz w:val="20"/>
        </w:rPr>
        <w:t>”) and as notes collateral agent for the Secured Parties (in such capacity, together with its successors and assigns, the “</w:t>
      </w:r>
      <w:r>
        <w:rPr>
          <w:rFonts w:ascii="Times New Roman" w:hAnsi="Times New Roman"/>
          <w:b/>
          <w:sz w:val="20"/>
        </w:rPr>
        <w:t>Collateral Agent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the Issuer previously issued Senior Secured Floating Rate Cash / PIK Notes due 2030 (the “</w:t>
      </w:r>
      <w:r>
        <w:rPr>
          <w:rFonts w:ascii="Times New Roman" w:hAnsi="Times New Roman"/>
          <w:b/>
          <w:sz w:val="20"/>
        </w:rPr>
        <w:t>Initial Notes</w:t>
      </w:r>
      <w:r>
        <w:rPr>
          <w:rFonts w:ascii="Times New Roman" w:hAnsi="Times New Roman"/>
          <w:sz w:val="20"/>
        </w:rPr>
        <w:t>” and, together with any PIK Notes issued under the Prior Notes Indenture referred to below, the “</w:t>
      </w:r>
      <w:r>
        <w:rPr>
          <w:rFonts w:ascii="Times New Roman" w:hAnsi="Times New Roman"/>
          <w:b/>
          <w:sz w:val="20"/>
        </w:rPr>
        <w:t>Prior Notes</w:t>
      </w:r>
      <w:r>
        <w:rPr>
          <w:rFonts w:ascii="Times New Roman" w:hAnsi="Times New Roman"/>
          <w:sz w:val="20"/>
        </w:rPr>
        <w:t>”) pursuant to that certain Indenture, dated as of March 12, 2025, by and among the Issuer, the guarantors party thereto and U.S. Bank, as trustee and as notes collateral agent (as amended, supplemented or otherwise modified from time to time, the “</w:t>
      </w:r>
      <w:r>
        <w:rPr>
          <w:rFonts w:ascii="Times New Roman" w:hAnsi="Times New Roman"/>
          <w:b/>
          <w:sz w:val="20"/>
        </w:rPr>
        <w:t>Prior Notes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in connection with the Issuer’s transferable rights offering and related backstop arrangements (“</w:t>
      </w:r>
      <w:r>
        <w:rPr>
          <w:rFonts w:ascii="Times New Roman" w:hAnsi="Times New Roman"/>
          <w:b/>
          <w:sz w:val="20"/>
        </w:rPr>
        <w:t>Rights Offering</w:t>
      </w:r>
      <w:r>
        <w:rPr>
          <w:rFonts w:ascii="Times New Roman" w:hAnsi="Times New Roman"/>
          <w:sz w:val="20"/>
        </w:rPr>
        <w:t xml:space="preserve">”), the holders of Prior Notes have agreed to equitize a portion of their Prior Notes;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Rights Offering, the Issuer desires to amend and restate the Prior Notes Indenture; </w:t>
      </w:r>
    </w:p>
    <w:p>
      <w:pPr>
        <w:pStyle w:val="TextBody"/>
        <w:bidi w:val="0"/>
        <w:spacing w:before="240" w:after="0"/>
        <w:jc w:val="left"/>
        <w:rPr>
          <w:rFonts w:ascii="Times New Roman" w:hAnsi="Times New Roman"/>
          <w:sz w:val="20"/>
        </w:rPr>
      </w:pPr>
      <w:r>
        <w:rPr>
          <w:rFonts w:ascii="Times New Roman" w:hAnsi="Times New Roman"/>
          <w:sz w:val="20"/>
        </w:rPr>
        <w:t>WHEREAS; the Issuer has duly authorized the execution and delivery of this Indenture to provide for (a) the amendment and restatement of the Prior Notes Indenture, (b) the issuance from time to time of PIK Notes and (c) the issuance from time to time of any additional Notes (other than PIK Notes) (the “</w:t>
      </w:r>
      <w:r>
        <w:rPr>
          <w:rFonts w:ascii="Times New Roman" w:hAnsi="Times New Roman"/>
          <w:b/>
          <w:sz w:val="20"/>
        </w:rPr>
        <w:t>Additional Notes</w:t>
      </w:r>
      <w:r>
        <w:rPr>
          <w:rFonts w:ascii="Times New Roman" w:hAnsi="Times New Roman"/>
          <w:sz w:val="20"/>
        </w:rPr>
        <w:t>” and, together with the Prior Notes and the PIK Notes issued after the Restatement Effective Date, the “</w:t>
      </w:r>
      <w:r>
        <w:rPr>
          <w:rFonts w:ascii="Times New Roman" w:hAnsi="Times New Roman"/>
          <w:b/>
          <w:sz w:val="20"/>
        </w:rPr>
        <w:t>Notes</w:t>
      </w:r>
      <w:r>
        <w:rPr>
          <w:rFonts w:ascii="Times New Roman" w:hAnsi="Times New Roman"/>
          <w:sz w:val="20"/>
        </w:rPr>
        <w:t xml:space="preserve">”) that may be issued after the date hereof, in each case, to be guaranteed as provided herein by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have been done by the Note Parties to make this Indenture, when executed and delivered by the Note Parties and the other parties hereto, a valid, binding and legal instrument;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have been done by the Note Parties to make the Notes, when executed by the Issuer and authenticated and delivered in accordance with the provisions of this Indenture, the valid obligations of the Note Parties.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premises and the purchase of the Notes by the Holders thereof, it is mutually covenanted and agreed, for the equal and proportionate benefit of all Holders,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Indenture (including in the preamble and the recitals above), the following terms shall have the meanings specified below: </w:t>
      </w:r>
    </w:p>
    <w:p>
      <w:pPr>
        <w:pStyle w:val="TextBody"/>
        <w:bidi w:val="0"/>
        <w:spacing w:before="240" w:after="0"/>
        <w:jc w:val="left"/>
        <w:rPr/>
      </w:pPr>
      <w:r>
        <w:rPr/>
        <w:t>“</w:t>
      </w:r>
      <w:r>
        <w:rPr>
          <w:rFonts w:ascii="Times New Roman" w:hAnsi="Times New Roman"/>
          <w:b/>
          <w:sz w:val="20"/>
        </w:rPr>
        <w:t>ABL Administrative Agent</w:t>
      </w:r>
      <w:r>
        <w:rPr>
          <w:rFonts w:ascii="Times New Roman" w:hAnsi="Times New Roman"/>
          <w:sz w:val="20"/>
        </w:rPr>
        <w:t xml:space="preserve">” means Eclipse Business Capital LLC, in its capacity as Administrative Agent under the ABL Credit Agreement, and its successors and assigns in such capacity. </w:t>
      </w:r>
    </w:p>
    <w:p>
      <w:pPr>
        <w:pStyle w:val="TextBody"/>
        <w:bidi w:val="0"/>
        <w:spacing w:before="240" w:after="0"/>
        <w:jc w:val="left"/>
        <w:rPr/>
      </w:pPr>
      <w:r>
        <w:rPr/>
        <w:t>“</w:t>
      </w:r>
      <w:r>
        <w:rPr>
          <w:rFonts w:ascii="Times New Roman" w:hAnsi="Times New Roman"/>
          <w:b/>
          <w:sz w:val="20"/>
        </w:rPr>
        <w:t>ABL Collateral Agent</w:t>
      </w:r>
      <w:r>
        <w:rPr>
          <w:rFonts w:ascii="Times New Roman" w:hAnsi="Times New Roman"/>
          <w:sz w:val="20"/>
        </w:rPr>
        <w:t xml:space="preserve">” means Eclipse Business Capital LLC, in its capacity as collateral agent and/or security trustee (as applicable) under the ABL Credit Agreement, and its successors and assigns in such capacity. </w:t>
      </w:r>
    </w:p>
    <w:p>
      <w:pPr>
        <w:pStyle w:val="TextBody"/>
        <w:bidi w:val="0"/>
        <w:spacing w:before="240" w:after="0"/>
        <w:jc w:val="left"/>
        <w:rPr/>
      </w:pPr>
      <w:r>
        <w:rPr/>
        <w:t>“</w:t>
      </w:r>
      <w:r>
        <w:rPr>
          <w:rFonts w:ascii="Times New Roman" w:hAnsi="Times New Roman"/>
          <w:b/>
          <w:sz w:val="20"/>
        </w:rPr>
        <w:t>ABL Credit Agreement</w:t>
      </w:r>
      <w:r>
        <w:rPr>
          <w:rFonts w:ascii="Times New Roman" w:hAnsi="Times New Roman"/>
          <w:sz w:val="20"/>
        </w:rPr>
        <w:t xml:space="preserve">” means that certain Credit Agreement, dated as of March 7, 2025, by and among the Issuer, the several lenders from time to time party thereto from time to time, the ABL Administrative Agent, the ABL Collateral Agent and the other agents or parties named therein and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or indenture exchanging, extending the maturity of refinancing, renewing, replacing, substituting or otherwise restructuring, whether in the bank or debt capital markets (or combination thereof) (including increasing the amount of available borrowings thereunder, changing the maturity or adding or removing Subsidiaries as borrowers or guarantors thereunder and whether or not with the same agents, lenders, investors or holders) all or any portion of the Indebtedness under such agreement or facility or any successor or replacement agreement or facility. </w:t>
      </w:r>
    </w:p>
    <w:p>
      <w:pPr>
        <w:pStyle w:val="TextBody"/>
        <w:bidi w:val="0"/>
        <w:spacing w:before="240" w:after="0"/>
        <w:jc w:val="left"/>
        <w:rPr/>
      </w:pPr>
      <w:r>
        <w:rPr/>
        <w:t>“</w:t>
      </w:r>
      <w:r>
        <w:rPr>
          <w:rFonts w:ascii="Times New Roman" w:hAnsi="Times New Roman"/>
          <w:b/>
          <w:sz w:val="20"/>
        </w:rPr>
        <w:t>ABL Documents</w:t>
      </w:r>
      <w:r>
        <w:rPr>
          <w:rFonts w:ascii="Times New Roman" w:hAnsi="Times New Roman"/>
          <w:sz w:val="20"/>
        </w:rPr>
        <w:t xml:space="preserve">” means the ABL Credit Agreement, any additional credit agreement, note purchase agreement, indenture or other agreement related thereto and all other loan or note documents, collateral or security documents, notes, guarantees, instruments and agreements governing or evidencing, or executed or delivered in connection with, the ABL Credit Agreement or any Pari Passu ABL Lien Indebtedness, as such agreements or instruments may be amended, supplemented, modified, restated, replaced, renewed, refunded, restructured, increased or refinanced from time to time. </w:t>
      </w:r>
    </w:p>
    <w:p>
      <w:pPr>
        <w:pStyle w:val="TextBody"/>
        <w:bidi w:val="0"/>
        <w:spacing w:before="240" w:after="0"/>
        <w:jc w:val="left"/>
        <w:rPr/>
      </w:pPr>
      <w:r>
        <w:rPr/>
        <w:t>“</w:t>
      </w:r>
      <w:r>
        <w:rPr>
          <w:rFonts w:ascii="Times New Roman" w:hAnsi="Times New Roman"/>
          <w:b/>
          <w:sz w:val="20"/>
        </w:rPr>
        <w:t>ABL Loans</w:t>
      </w:r>
      <w:r>
        <w:rPr>
          <w:rFonts w:ascii="Times New Roman" w:hAnsi="Times New Roman"/>
          <w:sz w:val="20"/>
        </w:rPr>
        <w:t>” has the meaning assigned to the term “Loans” in the ABL Credit Agreement (as in effect on the Closing Date)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ABL Obligations</w:t>
      </w:r>
      <w:r>
        <w:rPr>
          <w:rFonts w:ascii="Times New Roman" w:hAnsi="Times New Roman"/>
          <w:sz w:val="20"/>
        </w:rPr>
        <w:t xml:space="preserve">” means all Indebtedness, liabilities and obligations (of every kind or nature) incurred or arising under or relating to the ABL Documents that is secured by a lien permitted under </w:t>
      </w:r>
      <w:r>
        <w:rPr>
          <w:rFonts w:ascii="Times New Roman" w:hAnsi="Times New Roman"/>
          <w:sz w:val="20"/>
          <w:u w:val="single"/>
        </w:rPr>
        <w:t>Section 6.02(n)</w:t>
      </w:r>
      <w:r>
        <w:rPr>
          <w:rFonts w:ascii="Times New Roman" w:hAnsi="Times New Roman"/>
          <w:sz w:val="20"/>
        </w:rPr>
        <w:t xml:space="preserve"> hereof, and all other obligations of the Issuer or any Guarantor in respect thereof. </w:t>
      </w:r>
    </w:p>
    <w:p>
      <w:pPr>
        <w:pStyle w:val="TextBody"/>
        <w:bidi w:val="0"/>
        <w:spacing w:before="240" w:after="0"/>
        <w:jc w:val="left"/>
        <w:rPr/>
      </w:pPr>
      <w:r>
        <w:rPr/>
        <w:t>“</w:t>
      </w:r>
      <w:r>
        <w:rPr>
          <w:rFonts w:ascii="Times New Roman" w:hAnsi="Times New Roman"/>
          <w:b/>
          <w:sz w:val="20"/>
        </w:rPr>
        <w:t>ABL Priority Collateral</w:t>
      </w:r>
      <w:r>
        <w:rPr>
          <w:rFonts w:ascii="Times New Roman" w:hAnsi="Times New Roman"/>
          <w:sz w:val="20"/>
        </w:rPr>
        <w:t xml:space="preserve">” has the meaning assigned to the term “ABL Priority Collateral” in the ABL/Note Intercreditor Agreement (as in effect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ABL/Note Intercreditor Agreement</w:t>
      </w:r>
      <w:r>
        <w:rPr>
          <w:rFonts w:ascii="Times New Roman" w:hAnsi="Times New Roman"/>
          <w:sz w:val="20"/>
        </w:rPr>
        <w:t xml:space="preserve">” means the Intercreditor Agreement, dated as of March 12, 2025, substantially in the form of </w:t>
      </w:r>
      <w:r>
        <w:rPr>
          <w:rFonts w:ascii="Times New Roman" w:hAnsi="Times New Roman"/>
          <w:sz w:val="20"/>
          <w:u w:val="single"/>
        </w:rPr>
        <w:t>Exhibit H</w:t>
      </w:r>
      <w:r>
        <w:rPr>
          <w:rFonts w:ascii="Times New Roman" w:hAnsi="Times New Roman"/>
          <w:sz w:val="20"/>
        </w:rPr>
        <w:t xml:space="preserve">, by and among the Issuer, the Subsidiary Guarantors, the Trustee, the Collateral Agent, the ABL Administrative Agent, the ABL Collateral Agent, and the other Persons from time to time party thereto, as the same may be amended, restated, supplemented or otherwise modified from time to time. </w:t>
      </w:r>
    </w:p>
    <w:p>
      <w:pPr>
        <w:pStyle w:val="TextBody"/>
        <w:bidi w:val="0"/>
        <w:spacing w:before="240" w:after="0"/>
        <w:jc w:val="left"/>
        <w:rPr/>
      </w:pPr>
      <w:r>
        <w:rPr/>
        <w:t>“</w:t>
      </w:r>
      <w:r>
        <w:rPr>
          <w:rFonts w:ascii="Times New Roman" w:hAnsi="Times New Roman"/>
          <w:b/>
          <w:sz w:val="20"/>
        </w:rPr>
        <w:t>ABR Note</w:t>
      </w:r>
      <w:r>
        <w:rPr>
          <w:rFonts w:ascii="Times New Roman" w:hAnsi="Times New Roman"/>
          <w:sz w:val="20"/>
        </w:rPr>
        <w:t xml:space="preserve">” means any Note bearing interest at a rate determined by reference to the Alternate Base Rate in accordance with the provisions of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ABR Term SOFR Determination Day</w:t>
      </w:r>
      <w:r>
        <w:rPr>
          <w:rFonts w:ascii="Times New Roman" w:hAnsi="Times New Roman"/>
          <w:sz w:val="20"/>
        </w:rPr>
        <w:t xml:space="preserve">” has the meaning assigned to such term in the definition of “Term SOFR”. </w:t>
      </w:r>
    </w:p>
    <w:p>
      <w:pPr>
        <w:pStyle w:val="TextBody"/>
        <w:bidi w:val="0"/>
        <w:spacing w:before="240" w:after="0"/>
        <w:jc w:val="left"/>
        <w:rPr/>
      </w:pPr>
      <w:r>
        <w:rPr/>
        <w:t>“</w:t>
      </w:r>
      <w:r>
        <w:rPr>
          <w:rFonts w:ascii="Times New Roman" w:hAnsi="Times New Roman"/>
          <w:b/>
          <w:sz w:val="20"/>
        </w:rPr>
        <w:t>Additional Guarantor</w:t>
      </w:r>
      <w:r>
        <w:rPr>
          <w:rFonts w:ascii="Times New Roman" w:hAnsi="Times New Roman"/>
          <w:sz w:val="20"/>
        </w:rPr>
        <w:t xml:space="preserve">” means any Wholly Owned Restricted Subsidiary incorporated under the laws of the United States, any state thereof, or the District of Columbia that becomes a Guarantor after the Restatement Effective Date pursuant to </w:t>
      </w:r>
      <w:r>
        <w:rPr>
          <w:rFonts w:ascii="Times New Roman" w:hAnsi="Times New Roman"/>
          <w:sz w:val="20"/>
          <w:u w:val="single"/>
        </w:rPr>
        <w:t>Section 5.12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Additional Notes</w:t>
      </w:r>
      <w:r>
        <w:rPr>
          <w:rFonts w:ascii="Times New Roman" w:hAnsi="Times New Roman"/>
          <w:sz w:val="20"/>
        </w:rPr>
        <w:t xml:space="preserve">” means Notes (other than the Initial Notes and the PIK Notes) issued pursuant to </w:t>
      </w:r>
      <w:r>
        <w:rPr>
          <w:rFonts w:ascii="Times New Roman" w:hAnsi="Times New Roman"/>
          <w:sz w:val="20"/>
          <w:u w:val="single"/>
        </w:rPr>
        <w:t>Article II</w:t>
      </w:r>
      <w:r>
        <w:rPr>
          <w:rFonts w:ascii="Times New Roman" w:hAnsi="Times New Roman"/>
          <w:sz w:val="20"/>
        </w:rPr>
        <w:t xml:space="preserve"> and otherwise in compliance with the provisions of this Indenture whether or not they bear the same CUSIP number.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when used with respect to a specified person, another person that directly, or indirectly through one or more intermediaries, Controls or is Controlled by or is under common Control with the person specified;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neither any Holder nor the Trustee nor any Agent (nor any of their Affiliates) shall be deemed to be an Affiliate of the Issuer or any of their respective Subsidiaries solely by virtue of its capacity as a Holder, the Trustee or Agent hereunder. </w:t>
      </w:r>
    </w:p>
    <w:p>
      <w:pPr>
        <w:pStyle w:val="TextBody"/>
        <w:bidi w:val="0"/>
        <w:spacing w:before="240" w:after="0"/>
        <w:jc w:val="left"/>
        <w:rPr/>
      </w:pPr>
      <w:r>
        <w:rPr/>
        <w:t>“</w:t>
      </w:r>
      <w:r>
        <w:rPr>
          <w:rFonts w:ascii="Times New Roman" w:hAnsi="Times New Roman"/>
          <w:b/>
          <w:sz w:val="20"/>
        </w:rPr>
        <w:t>Agent</w:t>
      </w:r>
      <w:r>
        <w:rPr>
          <w:rFonts w:ascii="Times New Roman" w:hAnsi="Times New Roman"/>
          <w:sz w:val="20"/>
        </w:rPr>
        <w:t xml:space="preserve">” means any Registrar, Calculation Agent, Paying Agent, Authenticating Agent, co-registrar or other agent appointed pursuant to this Indenture. </w:t>
      </w:r>
    </w:p>
    <w:p>
      <w:pPr>
        <w:pStyle w:val="TextBody"/>
        <w:bidi w:val="0"/>
        <w:spacing w:before="240" w:after="0"/>
        <w:jc w:val="left"/>
        <w:rPr/>
      </w:pPr>
      <w:r>
        <w:rPr/>
        <w:t>“</w:t>
      </w:r>
      <w:r>
        <w:rPr>
          <w:rFonts w:ascii="Times New Roman" w:hAnsi="Times New Roman"/>
          <w:b/>
          <w:sz w:val="20"/>
        </w:rPr>
        <w:t>AHYDO Catch-Up Payment</w:t>
      </w:r>
      <w:r>
        <w:rPr>
          <w:rFonts w:ascii="Times New Roman" w:hAnsi="Times New Roman"/>
          <w:sz w:val="20"/>
        </w:rPr>
        <w:t xml:space="preserve">” means any mandatory prepayment or redemption pursuant to the terms of any Indebtedness in the minimum amount required to cause such Indebtedness not to be treated as an “applicable high yield discount obligation” within the meaning of Section 163(i) of the Code. </w:t>
      </w:r>
    </w:p>
    <w:p>
      <w:pPr>
        <w:pStyle w:val="TextBody"/>
        <w:bidi w:val="0"/>
        <w:spacing w:before="240" w:after="0"/>
        <w:jc w:val="left"/>
        <w:rPr/>
      </w:pPr>
      <w:r>
        <w:rPr/>
        <w:t>“</w:t>
      </w:r>
      <w:r>
        <w:rPr>
          <w:rFonts w:ascii="Times New Roman" w:hAnsi="Times New Roman"/>
          <w:b/>
          <w:sz w:val="20"/>
        </w:rPr>
        <w:t>Alternate Base Rate</w:t>
      </w:r>
      <w:r>
        <w:rPr>
          <w:rFonts w:ascii="Times New Roman" w:hAnsi="Times New Roman"/>
          <w:sz w:val="20"/>
        </w:rPr>
        <w:t xml:space="preserve">” means, for any day, a rate per annum equal to the greatest of (a) the Base Rate in effect on such day, (b) the Federal Funds Rate in effect on such day </w:t>
      </w:r>
      <w:r>
        <w:rPr>
          <w:rFonts w:ascii="Times New Roman" w:hAnsi="Times New Roman"/>
          <w:i/>
          <w:sz w:val="20"/>
        </w:rPr>
        <w:t>plus</w:t>
      </w:r>
      <w:r>
        <w:rPr>
          <w:rFonts w:ascii="Times New Roman" w:hAnsi="Times New Roman"/>
          <w:sz w:val="20"/>
        </w:rPr>
        <w:t xml:space="preserve"> 1/2 of one percent (1.00%), and (c) Term SOFR for a one (1) month Interest Period </w:t>
      </w:r>
      <w:r>
        <w:rPr>
          <w:rFonts w:ascii="Times New Roman" w:hAnsi="Times New Roman"/>
          <w:i/>
          <w:sz w:val="20"/>
        </w:rPr>
        <w:t>plus</w:t>
      </w:r>
      <w:r>
        <w:rPr>
          <w:rFonts w:ascii="Times New Roman" w:hAnsi="Times New Roman"/>
          <w:sz w:val="20"/>
        </w:rPr>
        <w:t xml:space="preserve"> one percent (1.00%); </w:t>
      </w:r>
      <w:r>
        <w:rPr>
          <w:rFonts w:ascii="Times New Roman" w:hAnsi="Times New Roman"/>
          <w:i/>
          <w:sz w:val="20"/>
        </w:rPr>
        <w:t>provided</w:t>
      </w:r>
      <w:r>
        <w:rPr>
          <w:rFonts w:ascii="Times New Roman" w:hAnsi="Times New Roman"/>
          <w:sz w:val="20"/>
        </w:rPr>
        <w:t xml:space="preserve">, that, any change in the Alternate Base Rate due to a change in the Base Rate, the Federal Funds Rate or Term SOFR shall be effective on the effective date of such change in the Base Rate, the Federal Funds Rate or Term SOFR,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If the Alternate Base Rate as determined above would be less than the Floor, the Alternate Base Rate will be deemed to be the Floor. </w:t>
      </w:r>
    </w:p>
    <w:p>
      <w:pPr>
        <w:pStyle w:val="TextBody"/>
        <w:bidi w:val="0"/>
        <w:spacing w:before="240" w:after="0"/>
        <w:jc w:val="left"/>
        <w:rPr/>
      </w:pPr>
      <w:r>
        <w:rPr/>
        <w:t>“</w:t>
      </w:r>
      <w:r>
        <w:rPr>
          <w:rFonts w:ascii="Times New Roman" w:hAnsi="Times New Roman"/>
          <w:b/>
          <w:sz w:val="20"/>
        </w:rPr>
        <w:t>Anti-Terrorism Laws</w:t>
      </w:r>
      <w:r>
        <w:rPr>
          <w:rFonts w:ascii="Times New Roman" w:hAnsi="Times New Roman"/>
          <w:sz w:val="20"/>
        </w:rPr>
        <w:t xml:space="preserve">” has the meaning assigned to such term in </w:t>
      </w:r>
      <w:r>
        <w:rPr>
          <w:rFonts w:ascii="Times New Roman" w:hAnsi="Times New Roman"/>
          <w:sz w:val="20"/>
          <w:u w:val="single"/>
        </w:rPr>
        <w:t>Section 5.16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Applicable Date of Determination</w:t>
      </w:r>
      <w:r>
        <w:rPr>
          <w:rFonts w:ascii="Times New Roman" w:hAnsi="Times New Roman"/>
          <w:sz w:val="20"/>
        </w:rPr>
        <w:t xml:space="preserve">” means, for purposes of determining Consolidated Total Indebtedness and Unrestricted Cash for purposes of calculating the Total Net Leverage Ratio for purposes of determining whether an incurrence test has been satisfied, subject to </w:t>
      </w:r>
      <w:r>
        <w:rPr>
          <w:rFonts w:ascii="Times New Roman" w:hAnsi="Times New Roman"/>
          <w:sz w:val="20"/>
          <w:u w:val="single"/>
        </w:rPr>
        <w:t>Section 1.06</w:t>
      </w:r>
      <w:r>
        <w:rPr>
          <w:rFonts w:ascii="Times New Roman" w:hAnsi="Times New Roman"/>
          <w:sz w:val="20"/>
        </w:rPr>
        <w:t xml:space="preserve">, the date of the transaction subject to such incurrence test. </w:t>
      </w:r>
    </w:p>
    <w:p>
      <w:pPr>
        <w:pStyle w:val="TextBody"/>
        <w:bidi w:val="0"/>
        <w:spacing w:before="240" w:after="0"/>
        <w:jc w:val="left"/>
        <w:rPr/>
      </w:pPr>
      <w:r>
        <w:rPr/>
        <w:t>“</w:t>
      </w:r>
      <w:r>
        <w:rPr>
          <w:rFonts w:ascii="Times New Roman" w:hAnsi="Times New Roman"/>
          <w:b/>
          <w:sz w:val="20"/>
        </w:rPr>
        <w:t>Applicable ECF Percentage</w:t>
      </w:r>
      <w:r>
        <w:rPr>
          <w:rFonts w:ascii="Times New Roman" w:hAnsi="Times New Roman"/>
          <w:sz w:val="20"/>
        </w:rPr>
        <w:t xml:space="preserve">” means, for any fiscal year of the Issuer, (a) seventy-five percent (75%) if the Total Net Leverage Ratio as of the last day of such fiscal year is greater than or equal to 1.50 to 1.00, (b) fifty percent (50%) if the Total Net Leverage Ratio as of the last day of such fiscal year is greater than or equal to 1.00 to 1.00 but less than 1.50 to 1.00, and (c) twenty-five percent (25%) if the Total Net Leverage Ratio as of the last day of such fiscal year is less than 1.00 to 1.00. For the purposes of calculating the Applicable ECF Percentage for any fiscal year, Total Net Leverage Ratio shall be calculated after giving effect to any redemptions or repurchases described in </w:t>
      </w:r>
      <w:r>
        <w:rPr>
          <w:rFonts w:ascii="Times New Roman" w:hAnsi="Times New Roman"/>
          <w:sz w:val="20"/>
          <w:u w:val="single"/>
        </w:rPr>
        <w:t>Section 3.08(d)(ii)</w:t>
      </w:r>
      <w:r>
        <w:rPr>
          <w:rFonts w:ascii="Times New Roman" w:hAnsi="Times New Roman"/>
          <w:sz w:val="20"/>
        </w:rPr>
        <w:t xml:space="preserve"> during such fiscal year. </w:t>
      </w:r>
    </w:p>
    <w:p>
      <w:pPr>
        <w:pStyle w:val="TextBody"/>
        <w:bidi w:val="0"/>
        <w:spacing w:before="240" w:after="0"/>
        <w:jc w:val="left"/>
        <w:rPr/>
      </w:pPr>
      <w:r>
        <w:rPr/>
        <w:t>“</w:t>
      </w:r>
      <w:r>
        <w:rPr>
          <w:rFonts w:ascii="Times New Roman" w:hAnsi="Times New Roman"/>
          <w:b/>
          <w:sz w:val="20"/>
        </w:rPr>
        <w:t>Applicable Margin</w:t>
      </w:r>
      <w:r>
        <w:rPr>
          <w:rFonts w:ascii="Times New Roman" w:hAnsi="Times New Roman"/>
          <w:sz w:val="20"/>
        </w:rPr>
        <w:t xml:space="preserve">” means (a) from the Restatement Effective Date until the delivery of the Compliance Certificate and financial statements for the Test Period ending September 30, 2026, a percentage per annum determined by reference to the following table as if the Secured Net Leverage Ratio then in effect was greater than 2.00:1.00 and (b), thereafter, a percentage per annum determined by reference to the Secured Net Leverage Ratio in effect from time to time as set forth below: </w:t>
      </w:r>
    </w:p>
    <w:p>
      <w:pPr>
        <w:pStyle w:val="TextBody"/>
        <w:bidi w:val="0"/>
        <w:spacing w:before="0" w:after="0"/>
        <w:jc w:val="left"/>
        <w:rPr/>
      </w:pPr>
      <w:r>
        <w:rPr/>
        <w:t> </w:t>
      </w:r>
    </w:p>
    <w:tbl>
      <w:tblPr>
        <w:tblW w:w="7975" w:type="dxa"/>
        <w:jc w:val="center"/>
        <w:tblInd w:w="0" w:type="dxa"/>
        <w:tblLayout w:type="fixed"/>
        <w:tblCellMar>
          <w:top w:w="0" w:type="dxa"/>
          <w:left w:w="0" w:type="dxa"/>
          <w:bottom w:w="0" w:type="dxa"/>
          <w:right w:w="0" w:type="dxa"/>
        </w:tblCellMar>
      </w:tblPr>
      <w:tblGrid>
        <w:gridCol w:w="2060"/>
        <w:gridCol w:w="120"/>
        <w:gridCol w:w="276"/>
        <w:gridCol w:w="2024"/>
        <w:gridCol w:w="275"/>
        <w:gridCol w:w="60"/>
        <w:gridCol w:w="346"/>
        <w:gridCol w:w="2539"/>
        <w:gridCol w:w="27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Secured Net Leverage Ratio</w:t>
            </w:r>
          </w:p>
        </w:tc>
        <w:tc>
          <w:tcPr>
            <w:tcW w:w="120" w:type="dxa"/>
            <w:tcBorders/>
            <w:vAlign w:val="bottom"/>
          </w:tcPr>
          <w:p>
            <w:pPr>
              <w:pStyle w:val="TableContents"/>
              <w:bidi w:val="0"/>
              <w:spacing w:before="0" w:after="283"/>
              <w:jc w:val="left"/>
              <w:rPr/>
            </w:pPr>
            <w:r>
              <w:rPr/>
              <w:t>  </w:t>
            </w:r>
          </w:p>
        </w:tc>
        <w:tc>
          <w:tcPr>
            <w:tcW w:w="2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Margin for</w:t>
              <w:br/>
              <w:t>SOFR Notes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Margin for ABR</w:t>
              <w:br/>
              <w:t>Notes</w:t>
            </w:r>
          </w:p>
        </w:tc>
        <w:tc>
          <w:tcPr>
            <w:tcW w:w="275"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Greater than 2.00:1.00</w:t>
            </w:r>
          </w:p>
        </w:tc>
        <w:tc>
          <w:tcPr>
            <w:tcW w:w="12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024" w:type="dxa"/>
            <w:tcBorders/>
            <w:shd w:fill="CCEEFF" w:val="clear"/>
            <w:vAlign w:val="bottom"/>
          </w:tcPr>
          <w:p>
            <w:pPr>
              <w:pStyle w:val="TableContents"/>
              <w:bidi w:val="0"/>
              <w:spacing w:before="0" w:after="283"/>
              <w:jc w:val="right"/>
              <w:rPr/>
            </w:pPr>
            <w:r>
              <w:rPr/>
              <w:t>8.50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539" w:type="dxa"/>
            <w:tcBorders/>
            <w:shd w:fill="CCEEFF" w:val="clear"/>
            <w:vAlign w:val="bottom"/>
          </w:tcPr>
          <w:p>
            <w:pPr>
              <w:pStyle w:val="TableContents"/>
              <w:bidi w:val="0"/>
              <w:spacing w:before="0" w:after="283"/>
              <w:jc w:val="right"/>
              <w:rPr/>
            </w:pPr>
            <w:r>
              <w:rPr/>
              <w:t>7.50</w:t>
            </w:r>
          </w:p>
        </w:tc>
        <w:tc>
          <w:tcPr>
            <w:tcW w:w="275" w:type="dxa"/>
            <w:tcBorders/>
            <w:shd w:fill="CCEEFF" w:val="clear"/>
            <w:vAlign w:val="bottom"/>
          </w:tcPr>
          <w:p>
            <w:pPr>
              <w:pStyle w:val="TableContents"/>
              <w:bidi w:val="0"/>
              <w:spacing w:before="0" w:after="283"/>
              <w:jc w:val="left"/>
              <w:rPr/>
            </w:pPr>
            <w:r>
              <w:rPr/>
              <w:t>% </w:t>
            </w:r>
          </w:p>
        </w:tc>
      </w:tr>
      <w:tr>
        <w:trPr/>
        <w:tc>
          <w:tcPr>
            <w:tcW w:w="2060" w:type="dxa"/>
            <w:tcBorders/>
          </w:tcPr>
          <w:p>
            <w:pPr>
              <w:pStyle w:val="TableContents"/>
              <w:bidi w:val="0"/>
              <w:spacing w:before="0" w:after="0"/>
              <w:jc w:val="left"/>
              <w:rPr>
                <w:rFonts w:ascii="Times New Roman" w:hAnsi="Times New Roman"/>
                <w:sz w:val="20"/>
              </w:rPr>
            </w:pPr>
            <w:r>
              <w:rPr>
                <w:rFonts w:ascii="Times New Roman" w:hAnsi="Times New Roman"/>
                <w:sz w:val="20"/>
              </w:rPr>
              <w:t>Less than or equal to 2.00:1.00 but greater than 1.50:1.00</w:t>
            </w:r>
          </w:p>
        </w:tc>
        <w:tc>
          <w:tcPr>
            <w:tcW w:w="12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spacing w:before="0" w:after="283"/>
              <w:jc w:val="right"/>
              <w:rPr/>
            </w:pPr>
            <w:r>
              <w:rPr/>
              <w:t>8.25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539" w:type="dxa"/>
            <w:tcBorders/>
            <w:vAlign w:val="bottom"/>
          </w:tcPr>
          <w:p>
            <w:pPr>
              <w:pStyle w:val="TableContents"/>
              <w:bidi w:val="0"/>
              <w:spacing w:before="0" w:after="283"/>
              <w:jc w:val="right"/>
              <w:rPr/>
            </w:pPr>
            <w:r>
              <w:rPr/>
              <w:t>7.25</w:t>
            </w:r>
          </w:p>
        </w:tc>
        <w:tc>
          <w:tcPr>
            <w:tcW w:w="275" w:type="dxa"/>
            <w:tcBorders/>
            <w:vAlign w:val="bottom"/>
          </w:tcPr>
          <w:p>
            <w:pPr>
              <w:pStyle w:val="TableContents"/>
              <w:bidi w:val="0"/>
              <w:spacing w:before="0" w:after="283"/>
              <w:jc w:val="left"/>
              <w:rPr/>
            </w:pPr>
            <w:r>
              <w:rPr/>
              <w:t>% </w:t>
            </w:r>
          </w:p>
        </w:tc>
      </w:tr>
      <w:tr>
        <w:trPr/>
        <w:tc>
          <w:tcPr>
            <w:tcW w:w="2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than or equal to 1.50:1.00</w:t>
            </w:r>
          </w:p>
        </w:tc>
        <w:tc>
          <w:tcPr>
            <w:tcW w:w="12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024" w:type="dxa"/>
            <w:tcBorders/>
            <w:shd w:fill="CCEEFF" w:val="clear"/>
            <w:vAlign w:val="bottom"/>
          </w:tcPr>
          <w:p>
            <w:pPr>
              <w:pStyle w:val="TableContents"/>
              <w:bidi w:val="0"/>
              <w:spacing w:before="0" w:after="283"/>
              <w:jc w:val="right"/>
              <w:rPr/>
            </w:pPr>
            <w:r>
              <w:rPr/>
              <w:t>8.00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539" w:type="dxa"/>
            <w:tcBorders/>
            <w:shd w:fill="CCEEFF" w:val="clear"/>
            <w:vAlign w:val="bottom"/>
          </w:tcPr>
          <w:p>
            <w:pPr>
              <w:pStyle w:val="TableContents"/>
              <w:bidi w:val="0"/>
              <w:spacing w:before="0" w:after="283"/>
              <w:jc w:val="right"/>
              <w:rPr/>
            </w:pPr>
            <w:r>
              <w:rPr/>
              <w:t>7.00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changes in the Applicable Margin resulting from the delivery of financial statements pursuant to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a change in the Applicable Margin shall be effective with respect to interest accruing from the next Interest Payment Date after the date on which the Trustee and the Holders shall have received the applicable financial statements and a Compliance Certificate calculating the Secured Net Leverage Ratio pursuant to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The Applicable Margin in effect at the Restatement Effective Date is 8.50%. </w:t>
      </w:r>
    </w:p>
    <w:p>
      <w:pPr>
        <w:pStyle w:val="TextBody"/>
        <w:bidi w:val="0"/>
        <w:spacing w:before="240" w:after="0"/>
        <w:jc w:val="left"/>
        <w:rPr/>
      </w:pPr>
      <w:r>
        <w:rPr/>
        <w:t>“</w:t>
      </w:r>
      <w:r>
        <w:rPr>
          <w:rFonts w:ascii="Times New Roman" w:hAnsi="Times New Roman"/>
          <w:b/>
          <w:sz w:val="20"/>
        </w:rPr>
        <w:t>Applicable Other Indebtedness</w:t>
      </w:r>
      <w:r>
        <w:rPr>
          <w:rFonts w:ascii="Times New Roman" w:hAnsi="Times New Roman"/>
          <w:sz w:val="20"/>
        </w:rPr>
        <w:t xml:space="preserve">” has the meaning assigned to such term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Applicable Tax Laws</w:t>
      </w:r>
      <w:r>
        <w:rPr>
          <w:rFonts w:ascii="Times New Roman" w:hAnsi="Times New Roman"/>
          <w:sz w:val="20"/>
        </w:rPr>
        <w:t xml:space="preserve">” means the Code and any other applicable Requirement of Law relating to Taxes,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Approved Electronic Communication</w:t>
      </w:r>
      <w:r>
        <w:rPr>
          <w:rFonts w:ascii="Times New Roman" w:hAnsi="Times New Roman"/>
          <w:sz w:val="20"/>
        </w:rPr>
        <w:t xml:space="preserve">” means each notice, demand, communication, information, document and other material transmitted, posted or otherwise made or communicated by e-mail, facsimile, or any other equivalent electronic service, whether owned, operated or hosted by the Trustee, any of its Affiliates or any other Person, that any party is obligated to, or otherwise chooses to, provide to the Trustee pursuant to this Indenture or any other Note Document, including any financial statement, financial and other report, notice, request, certificate and other information or material; </w:t>
      </w:r>
      <w:r>
        <w:rPr>
          <w:rFonts w:ascii="Times New Roman" w:hAnsi="Times New Roman"/>
          <w:i/>
          <w:sz w:val="20"/>
          <w:u w:val="single"/>
        </w:rPr>
        <w:t>provided</w:t>
      </w:r>
      <w:r>
        <w:rPr>
          <w:rFonts w:ascii="Times New Roman" w:hAnsi="Times New Roman"/>
          <w:sz w:val="20"/>
        </w:rPr>
        <w:t xml:space="preserve">, that Approved Electronic Communications shall not include any notice, demand, communication, information, document or other material that the Trustee specifically instructs a Person to deliver in physical form. </w:t>
      </w:r>
    </w:p>
    <w:p>
      <w:pPr>
        <w:pStyle w:val="TextBody"/>
        <w:bidi w:val="0"/>
        <w:spacing w:before="240" w:after="0"/>
        <w:jc w:val="left"/>
        <w:rPr/>
      </w:pPr>
      <w:r>
        <w:rPr/>
        <w:t>“</w:t>
      </w:r>
      <w:r>
        <w:rPr>
          <w:rFonts w:ascii="Times New Roman" w:hAnsi="Times New Roman"/>
          <w:b/>
          <w:sz w:val="20"/>
        </w:rPr>
        <w:t>Asset Sale</w:t>
      </w:r>
      <w:r>
        <w:rPr>
          <w:rFonts w:ascii="Times New Roman" w:hAnsi="Times New Roman"/>
          <w:sz w:val="20"/>
        </w:rPr>
        <w:t xml:space="preserve">” means (a) any conveyance, sale, transfer or other disposition of any property pursuant to </w:t>
      </w:r>
      <w:r>
        <w:rPr>
          <w:rFonts w:ascii="Times New Roman" w:hAnsi="Times New Roman"/>
          <w:sz w:val="20"/>
          <w:u w:val="single"/>
        </w:rPr>
        <w:t>Section 6.05(b)</w:t>
      </w:r>
      <w:r>
        <w:rPr>
          <w:rFonts w:ascii="Times New Roman" w:hAnsi="Times New Roman"/>
          <w:sz w:val="20"/>
        </w:rPr>
        <w:t xml:space="preserve">, </w:t>
      </w:r>
      <w:r>
        <w:rPr>
          <w:rFonts w:ascii="Times New Roman" w:hAnsi="Times New Roman"/>
          <w:sz w:val="20"/>
          <w:u w:val="single"/>
        </w:rPr>
        <w:t>6.05(f)</w:t>
      </w:r>
      <w:r>
        <w:rPr>
          <w:rFonts w:ascii="Times New Roman" w:hAnsi="Times New Roman"/>
          <w:sz w:val="20"/>
        </w:rPr>
        <w:t xml:space="preserve">, </w:t>
      </w:r>
      <w:r>
        <w:rPr>
          <w:rFonts w:ascii="Times New Roman" w:hAnsi="Times New Roman"/>
          <w:sz w:val="20"/>
          <w:u w:val="single"/>
        </w:rPr>
        <w:t>6.05(i)</w:t>
      </w:r>
      <w:r>
        <w:rPr>
          <w:rFonts w:ascii="Times New Roman" w:hAnsi="Times New Roman"/>
          <w:sz w:val="20"/>
        </w:rPr>
        <w:t xml:space="preserve">, </w:t>
      </w:r>
      <w:r>
        <w:rPr>
          <w:rFonts w:ascii="Times New Roman" w:hAnsi="Times New Roman"/>
          <w:sz w:val="20"/>
          <w:u w:val="single"/>
        </w:rPr>
        <w:t>6.05(r)</w:t>
      </w:r>
      <w:r>
        <w:rPr>
          <w:rFonts w:ascii="Times New Roman" w:hAnsi="Times New Roman"/>
          <w:sz w:val="20"/>
        </w:rPr>
        <w:t xml:space="preserve"> or </w:t>
      </w:r>
      <w:r>
        <w:rPr>
          <w:rFonts w:ascii="Times New Roman" w:hAnsi="Times New Roman"/>
          <w:sz w:val="20"/>
          <w:u w:val="single"/>
        </w:rPr>
        <w:t>6.05(s)</w:t>
      </w:r>
      <w:r>
        <w:rPr>
          <w:rFonts w:ascii="Times New Roman" w:hAnsi="Times New Roman"/>
          <w:sz w:val="20"/>
        </w:rPr>
        <w:t xml:space="preserve">, (b) any issuance or sale of any Equity Interest of any Group Member (other than to any Group Member (other than the Issuer or in the case of an issuance or sale of any Equity Interest of any Note Party to any Group Member that is not a Note Party)), and (c) any other disposition of assets by Issuer or any of its Restricted Subsidiaries which is not sold or otherwise disposed of in the ordinary course of business; </w:t>
      </w:r>
      <w:r>
        <w:rPr>
          <w:rFonts w:ascii="Times New Roman" w:hAnsi="Times New Roman"/>
          <w:i/>
          <w:sz w:val="20"/>
        </w:rPr>
        <w:t>provided</w:t>
      </w:r>
      <w:r>
        <w:rPr>
          <w:rFonts w:ascii="Times New Roman" w:hAnsi="Times New Roman"/>
          <w:sz w:val="20"/>
        </w:rPr>
        <w:t xml:space="preserve">, that, in any event “Asset Sales” shall exclude Casualty Events of any Group Member. </w:t>
      </w:r>
    </w:p>
    <w:p>
      <w:pPr>
        <w:pStyle w:val="TextBody"/>
        <w:bidi w:val="0"/>
        <w:spacing w:before="240" w:after="0"/>
        <w:jc w:val="left"/>
        <w:rPr/>
      </w:pPr>
      <w:r>
        <w:rPr/>
        <w:t>“</w:t>
      </w:r>
      <w:r>
        <w:rPr>
          <w:rFonts w:ascii="Times New Roman" w:hAnsi="Times New Roman"/>
          <w:b/>
          <w:sz w:val="20"/>
        </w:rPr>
        <w:t>Asset Sale Threshold</w:t>
      </w:r>
      <w:r>
        <w:rPr>
          <w:rFonts w:ascii="Times New Roman" w:hAnsi="Times New Roman"/>
          <w:sz w:val="20"/>
        </w:rPr>
        <w:t xml:space="preserve">” has the meaning assigned to such term in </w:t>
      </w:r>
      <w:r>
        <w:rPr>
          <w:rFonts w:ascii="Times New Roman" w:hAnsi="Times New Roman"/>
          <w:sz w:val="20"/>
          <w:u w:val="single"/>
        </w:rPr>
        <w:t>Section 3.08(a)(i)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Authenticating Agent</w:t>
      </w:r>
      <w:r>
        <w:rPr>
          <w:rFonts w:ascii="Times New Roman" w:hAnsi="Times New Roman"/>
          <w:sz w:val="20"/>
        </w:rPr>
        <w:t xml:space="preserve">” means an agent appointed by the Trustee in accordance with </w:t>
      </w:r>
      <w:r>
        <w:rPr>
          <w:rFonts w:ascii="Times New Roman" w:hAnsi="Times New Roman"/>
          <w:sz w:val="20"/>
          <w:u w:val="single"/>
        </w:rPr>
        <w:t>Section 2.02(d)</w:t>
      </w:r>
      <w:r>
        <w:rPr>
          <w:rFonts w:ascii="Times New Roman" w:hAnsi="Times New Roman"/>
          <w:sz w:val="20"/>
        </w:rPr>
        <w:t xml:space="preserve"> and </w:t>
      </w:r>
      <w:r>
        <w:rPr>
          <w:rFonts w:ascii="Times New Roman" w:hAnsi="Times New Roman"/>
          <w:sz w:val="20"/>
          <w:u w:val="single"/>
        </w:rPr>
        <w:t>Section 9.10</w:t>
      </w:r>
      <w:r>
        <w:rPr>
          <w:rFonts w:ascii="Times New Roman" w:hAnsi="Times New Roman"/>
          <w:sz w:val="20"/>
        </w:rPr>
        <w:t xml:space="preserve"> hereof for the purpose of authenticating the Notes. </w:t>
      </w:r>
    </w:p>
    <w:p>
      <w:pPr>
        <w:pStyle w:val="TextBody"/>
        <w:bidi w:val="0"/>
        <w:spacing w:before="240" w:after="0"/>
        <w:jc w:val="left"/>
        <w:rPr/>
      </w:pPr>
      <w:r>
        <w:rPr/>
        <w:t>“</w:t>
      </w:r>
      <w:r>
        <w:rPr>
          <w:rFonts w:ascii="Times New Roman" w:hAnsi="Times New Roman"/>
          <w:b/>
          <w:sz w:val="20"/>
        </w:rPr>
        <w:t>Authentication Order</w:t>
      </w:r>
      <w:r>
        <w:rPr>
          <w:rFonts w:ascii="Times New Roman" w:hAnsi="Times New Roman"/>
          <w:sz w:val="20"/>
        </w:rPr>
        <w:t xml:space="preserve">” has the meaning assigned in </w:t>
      </w:r>
      <w:r>
        <w:rPr>
          <w:rFonts w:ascii="Times New Roman" w:hAnsi="Times New Roman"/>
          <w:sz w:val="20"/>
          <w:u w:val="single"/>
        </w:rPr>
        <w:t>Section 2.02(c)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Available Retained ECF Amount</w:t>
      </w:r>
      <w:r>
        <w:rPr>
          <w:rFonts w:ascii="Times New Roman" w:hAnsi="Times New Roman"/>
          <w:sz w:val="20"/>
        </w:rPr>
        <w:t xml:space="preserve">” means, at any date of determination, the portion of Excess Cash Flow, determined on a cumulative basis for all fiscal years of Issuer (commencing with the fiscal year ending December 31, 2026) that was not required to be applied to make a Net Cash Proceeds Offer pursuant to </w:t>
      </w:r>
      <w:r>
        <w:rPr>
          <w:rFonts w:ascii="Times New Roman" w:hAnsi="Times New Roman"/>
          <w:sz w:val="20"/>
          <w:u w:val="single"/>
        </w:rPr>
        <w:t>Section 3.08(d)</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the “Available Retained ECF Amount” be less than $0. </w:t>
      </w:r>
    </w:p>
    <w:p>
      <w:pPr>
        <w:pStyle w:val="TextBody"/>
        <w:bidi w:val="0"/>
        <w:spacing w:before="240" w:after="0"/>
        <w:jc w:val="left"/>
        <w:rPr/>
      </w:pPr>
      <w:r>
        <w:rPr/>
        <w:t>“</w:t>
      </w:r>
      <w:r>
        <w:rPr>
          <w:rFonts w:ascii="Times New Roman" w:hAnsi="Times New Roman"/>
          <w:b/>
          <w:sz w:val="20"/>
        </w:rPr>
        <w:t>Available Tenor</w:t>
      </w:r>
      <w:r>
        <w:rPr>
          <w:rFonts w:ascii="Times New Roman" w:hAnsi="Times New Roman"/>
          <w:sz w:val="20"/>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Indenture or (b) otherwise, any payment period for interest calculated with reference to such Benchmark (or component thereof) that is or may be used for determining any frequency of making payments of interest calculated with reference to such Benchmark pursuant to this Indenture, in each case, as of such date and not including, for the avoidance of doubt, any tenor for such Benchmark that is then-removed from the definition of “Interest Period” pursuant to </w:t>
      </w:r>
      <w:r>
        <w:rPr>
          <w:rFonts w:ascii="Times New Roman" w:hAnsi="Times New Roman"/>
          <w:sz w:val="20"/>
          <w:u w:val="single"/>
        </w:rPr>
        <w:t>Section 2.17(d)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Backstop Parties</w:t>
      </w:r>
      <w:r>
        <w:rPr>
          <w:rFonts w:ascii="Times New Roman" w:hAnsi="Times New Roman"/>
          <w:sz w:val="20"/>
        </w:rPr>
        <w:t xml:space="preserve">” as defined in the Rights Offering Backstop Agreement. </w:t>
      </w:r>
    </w:p>
    <w:p>
      <w:pPr>
        <w:pStyle w:val="TextBody"/>
        <w:bidi w:val="0"/>
        <w:spacing w:before="240" w:after="0"/>
        <w:jc w:val="left"/>
        <w:rPr/>
      </w:pPr>
      <w:r>
        <w:rPr/>
        <w:t>“</w:t>
      </w:r>
      <w:r>
        <w:rPr>
          <w:rFonts w:ascii="Times New Roman" w:hAnsi="Times New Roman"/>
          <w:b/>
          <w:sz w:val="20"/>
        </w:rPr>
        <w:t>Bankruptcy Code</w:t>
      </w:r>
      <w:r>
        <w:rPr>
          <w:rFonts w:ascii="Times New Roman" w:hAnsi="Times New Roman"/>
          <w:sz w:val="20"/>
        </w:rPr>
        <w:t xml:space="preserve">” means the Federal Bankruptcy Reform Act of 1978, as heretofore and hereafter amended, and codified as 11 U.S.C. §§ 101 et seq. and the regulations issued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Base Rate</w:t>
      </w:r>
      <w:r>
        <w:rPr>
          <w:rFonts w:ascii="Times New Roman" w:hAnsi="Times New Roman"/>
          <w:sz w:val="20"/>
        </w:rPr>
        <w:t xml:space="preserve">” means the rate of interest per annum equal to the last rate quoted by The Wall Street Journal Money Rates Section as the “Prime Rate”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Issuer and approved by the Controlling Party) or any similar release by the Federal Reserve Board (as determined by the Issuer and approved by the Controlling Party). Each change in the Prime Rate shall be effective from and including the date such change is publicly announced or quoted as being effective. </w:t>
      </w:r>
    </w:p>
    <w:p>
      <w:pPr>
        <w:pStyle w:val="TextBody"/>
        <w:bidi w:val="0"/>
        <w:spacing w:before="240" w:after="0"/>
        <w:jc w:val="left"/>
        <w:rPr/>
      </w:pPr>
      <w:r>
        <w:rPr/>
        <w:t>“</w:t>
      </w:r>
      <w:r>
        <w:rPr>
          <w:rFonts w:ascii="Times New Roman" w:hAnsi="Times New Roman"/>
          <w:b/>
          <w:sz w:val="20"/>
        </w:rPr>
        <w:t>Benchmark</w:t>
      </w:r>
      <w:r>
        <w:rPr>
          <w:rFonts w:ascii="Times New Roman" w:hAnsi="Times New Roman"/>
          <w:sz w:val="20"/>
        </w:rPr>
        <w:t xml:space="preserve">” means, initially, the Term SOFR Reference Rate; </w:t>
      </w:r>
      <w:r>
        <w:rPr>
          <w:rFonts w:ascii="Times New Roman" w:hAnsi="Times New Roman"/>
          <w:i/>
          <w:sz w:val="20"/>
        </w:rPr>
        <w:t>provided</w:t>
      </w:r>
      <w:r>
        <w:rPr>
          <w:rFonts w:ascii="Times New Roman" w:hAnsi="Times New Roman"/>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sz w:val="20"/>
          <w:u w:val="single"/>
        </w:rPr>
        <w:t>Section 2.17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Benchmark Replacement</w:t>
      </w:r>
      <w:r>
        <w:rPr>
          <w:rFonts w:ascii="Times New Roman" w:hAnsi="Times New Roman"/>
          <w:sz w:val="20"/>
        </w:rPr>
        <w:t xml:space="preserve">” means with respect to any Benchmark Transition Event, the sum of: (a) the alternate benchmark rate that has been selected by the Issuer and approved by the Controlling Party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above would be less than the Floor, the Benchmark Replacement will be deemed to be the Floor for the purposes of this Indenture and the other Note Documents. </w:t>
      </w:r>
    </w:p>
    <w:p>
      <w:pPr>
        <w:pStyle w:val="TextBody"/>
        <w:bidi w:val="0"/>
        <w:spacing w:before="240" w:after="0"/>
        <w:jc w:val="left"/>
        <w:rPr/>
      </w:pPr>
      <w:r>
        <w:rPr/>
        <w:t>“</w:t>
      </w:r>
      <w:r>
        <w:rPr>
          <w:rFonts w:ascii="Times New Roman" w:hAnsi="Times New Roman"/>
          <w:b/>
          <w:sz w:val="20"/>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Issuer and approved by the Controlling Party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pPr>
      <w:r>
        <w:rPr/>
        <w:t>“</w:t>
      </w:r>
      <w:r>
        <w:rPr>
          <w:rFonts w:ascii="Times New Roman" w:hAnsi="Times New Roman"/>
          <w:b/>
          <w:sz w:val="20"/>
        </w:rPr>
        <w:t>Benchmark Replacement Date</w:t>
      </w:r>
      <w:r>
        <w:rPr>
          <w:rFonts w:ascii="Times New Roman" w:hAnsi="Times New Roman"/>
          <w:sz w:val="20"/>
        </w:rPr>
        <w:t xml:space="preserve">” means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case of </w:t>
      </w:r>
      <w:r>
        <w:rPr>
          <w:rFonts w:ascii="Times New Roman" w:hAnsi="Times New Roman"/>
          <w:sz w:val="20"/>
          <w:u w:val="single"/>
        </w:rPr>
        <w:t>clause (c)</w:t>
      </w:r>
      <w:r>
        <w:rPr>
          <w:rFonts w:ascii="Times New Roman" w:hAnsi="Times New Roman"/>
          <w:sz w:val="20"/>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i/>
          <w:sz w:val="20"/>
        </w:rPr>
        <w:t>provided</w:t>
      </w:r>
      <w:r>
        <w:rPr>
          <w:rFonts w:ascii="Times New Roman" w:hAnsi="Times New Roman"/>
          <w:sz w:val="20"/>
        </w:rPr>
        <w:t xml:space="preserve">, that, such non-representativeness will be determined by reference to the most recent statement or publication referenced in such </w:t>
      </w:r>
      <w:r>
        <w:rPr>
          <w:rFonts w:ascii="Times New Roman" w:hAnsi="Times New Roman"/>
          <w:sz w:val="20"/>
          <w:u w:val="single"/>
        </w:rPr>
        <w:t>clause (c)</w:t>
      </w:r>
      <w:r>
        <w:rPr>
          <w:rFonts w:ascii="Times New Roman" w:hAnsi="Times New Roman"/>
          <w:sz w:val="20"/>
        </w:rPr>
        <w:t xml:space="preserve">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b/>
          <w:sz w:val="20"/>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sz w:val="20"/>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i/>
          <w:sz w:val="20"/>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Note Document in accordance with </w:t>
      </w:r>
      <w:r>
        <w:rPr>
          <w:rFonts w:ascii="Times New Roman" w:hAnsi="Times New Roman"/>
          <w:sz w:val="20"/>
          <w:u w:val="single"/>
        </w:rPr>
        <w:t>Section 2.17</w:t>
      </w:r>
      <w:r>
        <w:rPr>
          <w:rFonts w:ascii="Times New Roman" w:hAnsi="Times New Roman"/>
          <w:sz w:val="20"/>
        </w:rPr>
        <w:t xml:space="preserve"> and (b) ending at the time that a Benchmark Replacement has replaced the then-current Benchmark for all purposes hereunder and under any Note Document in accordance with </w:t>
      </w:r>
      <w:r>
        <w:rPr>
          <w:rFonts w:ascii="Times New Roman" w:hAnsi="Times New Roman"/>
          <w:sz w:val="20"/>
          <w:u w:val="single"/>
        </w:rPr>
        <w:t>Section 2.17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with respect to any person, (a) in the case of any corporation, the board of directors of such person, (b) in the case of any limited liability company, the board of managers, manager, member, sole member, or managing member of such person, (c) in the case of any partnership, the general partner of such person and (d) in any other case, the functional equivalent of the foregoing.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Sunday or other day on which financial institutions are authorized to close under the Requirements of Law of, or are in fact closed in, Houston, Texas, the State of New York or a place of payment and, if such day relates to any SOFR Note, means any such day that is also a U.S. Government Securities Business Day. </w:t>
      </w:r>
    </w:p>
    <w:p>
      <w:pPr>
        <w:pStyle w:val="TextBody"/>
        <w:bidi w:val="0"/>
        <w:spacing w:before="240" w:after="0"/>
        <w:jc w:val="left"/>
        <w:rPr/>
      </w:pPr>
      <w:r>
        <w:rPr/>
        <w:t>“</w:t>
      </w:r>
      <w:r>
        <w:rPr>
          <w:rFonts w:ascii="Times New Roman" w:hAnsi="Times New Roman"/>
          <w:b/>
          <w:sz w:val="20"/>
        </w:rPr>
        <w:t>Calculation Agent</w:t>
      </w:r>
      <w:r>
        <w:rPr>
          <w:rFonts w:ascii="Times New Roman" w:hAnsi="Times New Roman"/>
          <w:sz w:val="20"/>
        </w:rPr>
        <w:t xml:space="preserve">” means the agent appointed by the Issuer and approved by the Controlling Party for the purposes of determining Term SOFR or the Term SOFR Reference Rate (or other applicable benchmark rate). U.S. Bank shall be the initial Calculation Agent. </w:t>
      </w:r>
    </w:p>
    <w:p>
      <w:pPr>
        <w:pStyle w:val="TextBody"/>
        <w:bidi w:val="0"/>
        <w:spacing w:before="240" w:after="0"/>
        <w:jc w:val="left"/>
        <w:rPr/>
      </w:pPr>
      <w:r>
        <w:rPr/>
        <w:t>“</w:t>
      </w:r>
      <w:r>
        <w:rPr>
          <w:rFonts w:ascii="Times New Roman" w:hAnsi="Times New Roman"/>
          <w:b/>
          <w:sz w:val="20"/>
        </w:rPr>
        <w:t>Call Premium</w:t>
      </w:r>
      <w:r>
        <w:rPr>
          <w:rFonts w:ascii="Times New Roman" w:hAnsi="Times New Roman"/>
          <w:sz w:val="20"/>
        </w:rPr>
        <w:t xml:space="preserve">” has the meaning assigned to such term in </w:t>
      </w:r>
      <w:r>
        <w:rPr>
          <w:rFonts w:ascii="Times New Roman" w:hAnsi="Times New Roman"/>
          <w:sz w:val="20"/>
          <w:u w:val="single"/>
        </w:rPr>
        <w:t>Section 3.07(b)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Call Premium Deficit</w:t>
      </w:r>
      <w:r>
        <w:rPr>
          <w:rFonts w:ascii="Times New Roman" w:hAnsi="Times New Roman"/>
          <w:sz w:val="20"/>
        </w:rPr>
        <w:t xml:space="preserve">” has the meaning assigned to such term in </w:t>
      </w:r>
      <w:r>
        <w:rPr>
          <w:rFonts w:ascii="Times New Roman" w:hAnsi="Times New Roman"/>
          <w:sz w:val="20"/>
          <w:u w:val="single"/>
        </w:rPr>
        <w:t>Section 11.08(b)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Called Principal</w:t>
      </w:r>
      <w:r>
        <w:rPr>
          <w:rFonts w:ascii="Times New Roman" w:hAnsi="Times New Roman"/>
          <w:sz w:val="20"/>
        </w:rPr>
        <w:t xml:space="preserve">” means, with respect to any Note, the amount of principal of such Note that is to be redeemed. </w:t>
      </w:r>
    </w:p>
    <w:p>
      <w:pPr>
        <w:pStyle w:val="TextBody"/>
        <w:bidi w:val="0"/>
        <w:spacing w:before="240" w:after="0"/>
        <w:jc w:val="left"/>
        <w:rPr/>
      </w:pPr>
      <w:r>
        <w:rPr/>
        <w:t>“</w:t>
      </w:r>
      <w:r>
        <w:rPr>
          <w:rFonts w:ascii="Times New Roman" w:hAnsi="Times New Roman"/>
          <w:b/>
          <w:sz w:val="20"/>
        </w:rPr>
        <w:t>Capital Assets</w:t>
      </w:r>
      <w:r>
        <w:rPr>
          <w:rFonts w:ascii="Times New Roman" w:hAnsi="Times New Roman"/>
          <w:sz w:val="20"/>
        </w:rPr>
        <w:t xml:space="preserve">” means, with respect to any person, all equipment, rolling stock, aircraft, fixed assets and Real Property or improvements of such person, or replacements or substitutions therefor or additions thereto, that, in accordance with GAAP, have been or should be reflected as additions to property, plant or equipment on the balance sheet of such person. </w:t>
      </w:r>
    </w:p>
    <w:p>
      <w:pPr>
        <w:pStyle w:val="TextBody"/>
        <w:bidi w:val="0"/>
        <w:spacing w:before="240" w:after="0"/>
        <w:jc w:val="left"/>
        <w:rPr/>
      </w:pPr>
      <w:r>
        <w:rPr/>
        <w:t>“</w:t>
      </w:r>
      <w:r>
        <w:rPr>
          <w:rFonts w:ascii="Times New Roman" w:hAnsi="Times New Roman"/>
          <w:b/>
          <w:sz w:val="20"/>
        </w:rPr>
        <w:t>Capital Expenditures</w:t>
      </w:r>
      <w:r>
        <w:rPr>
          <w:rFonts w:ascii="Times New Roman" w:hAnsi="Times New Roman"/>
          <w:sz w:val="20"/>
        </w:rPr>
        <w:t xml:space="preserve">” means, for any period, the aggregate of, without duplication, all expenditures (whether paid in cash or accrued as liabilities) by Issuer and its Restricted Subsidiaries during such period that, in conformity with GAAP, are or are required to be included as additions during such period to property, plant or equipment reflected in the consolidated balance sheet of Issuer and its Restricted Subsidiaries. </w:t>
      </w:r>
    </w:p>
    <w:p>
      <w:pPr>
        <w:pStyle w:val="TextBody"/>
        <w:bidi w:val="0"/>
        <w:spacing w:before="240" w:after="0"/>
        <w:jc w:val="left"/>
        <w:rPr/>
      </w:pPr>
      <w:r>
        <w:rPr/>
        <w:t>“</w:t>
      </w:r>
      <w:r>
        <w:rPr>
          <w:rFonts w:ascii="Times New Roman" w:hAnsi="Times New Roman"/>
          <w:b/>
          <w:sz w:val="20"/>
        </w:rPr>
        <w:t>Capital Lease Obligations</w:t>
      </w:r>
      <w:r>
        <w:rPr>
          <w:rFonts w:ascii="Times New Roman" w:hAnsi="Times New Roman"/>
          <w:sz w:val="20"/>
        </w:rPr>
        <w:t xml:space="preserve">” means, at the time any determination thereof is to be made, the amount of the liability in respect of a Capital Lease that would at such time be required to be capitalized and reflected as a liability on a balance sheet (excluding the footnotes thereto) prepared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Capital Leases</w:t>
      </w:r>
      <w:r>
        <w:rPr>
          <w:rFonts w:ascii="Times New Roman" w:hAnsi="Times New Roman"/>
          <w:sz w:val="20"/>
        </w:rPr>
        <w:t xml:space="preserve">” means all leases that are required to be, in accordance with GAAP, recorded as capitalized leases; </w:t>
      </w:r>
      <w:r>
        <w:rPr>
          <w:rFonts w:ascii="Times New Roman" w:hAnsi="Times New Roman"/>
          <w:i/>
          <w:sz w:val="20"/>
        </w:rPr>
        <w:t>provided</w:t>
      </w:r>
      <w:r>
        <w:rPr>
          <w:rFonts w:ascii="Times New Roman" w:hAnsi="Times New Roman"/>
          <w:sz w:val="20"/>
        </w:rPr>
        <w:t xml:space="preserve">, that, the adoption or issuance of any accounting standards after the Closing Date will not cause any lease that was not or would not have been a Capital Lease prior to such adoption or issuance to be deemed a Capital Lease. </w:t>
      </w:r>
    </w:p>
    <w:p>
      <w:pPr>
        <w:pStyle w:val="TextBody"/>
        <w:bidi w:val="0"/>
        <w:spacing w:before="240" w:after="0"/>
        <w:jc w:val="left"/>
        <w:rPr/>
      </w:pPr>
      <w:r>
        <w:rPr/>
        <w:t>“</w:t>
      </w:r>
      <w:r>
        <w:rPr>
          <w:rFonts w:ascii="Times New Roman" w:hAnsi="Times New Roman"/>
          <w:b/>
          <w:sz w:val="20"/>
        </w:rPr>
        <w:t>Cash Election</w:t>
      </w:r>
      <w:r>
        <w:rPr>
          <w:rFonts w:ascii="Times New Roman" w:hAnsi="Times New Roman"/>
          <w:sz w:val="20"/>
        </w:rPr>
        <w:t xml:space="preserve">” has the meaning assigned to such term in </w:t>
      </w:r>
      <w:r>
        <w:rPr>
          <w:rFonts w:ascii="Times New Roman" w:hAnsi="Times New Roman"/>
          <w:sz w:val="20"/>
          <w:u w:val="single"/>
        </w:rPr>
        <w:t>Section 2.13(g)(i)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means (a) securities issued or directly and fully guaranteed or insured by the United States Government or any agency or instrumentality thereof having maturities of not more than one year from the date of acquisition, (b) certificates of deposit and eurodollar time deposits with maturities of one year or less from the date of acquisition, bankers’ acceptances with maturities not exceeding one year and overnight bank deposits, in each case, with any Holder or with any domestic commercial bank having capital and surplus in excess of $500,000,000, (c) repurchase obligations with a term of not more than thirty (30) days for underlying securities of the types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entered into with any financial institution meeting the qualifications specified in </w:t>
      </w:r>
      <w:r>
        <w:rPr>
          <w:rFonts w:ascii="Times New Roman" w:hAnsi="Times New Roman"/>
          <w:sz w:val="20"/>
          <w:u w:val="single"/>
        </w:rPr>
        <w:t>clause (b)</w:t>
      </w:r>
      <w:r>
        <w:rPr>
          <w:rFonts w:ascii="Times New Roman" w:hAnsi="Times New Roman"/>
          <w:sz w:val="20"/>
        </w:rPr>
        <w:t xml:space="preserve"> above, (d) commercial paper issued by any Holder, the parent corporation of any Holder or any Subsidiary of such Holder’s parent corporation, and commercial paper rated at least A-2 or the equivalent thereof by S&amp;P or at least P-2 or the equivalent thereof by Moody’s and in each case maturing within one year after the date of acquisition thereof, (e) money market funds that (i) comply with the criteria set forth in Securities and Exchange Commission Rule 2a-7 under the Investment Company Act of 1940, (ii) are rated AA by S&amp;P and Aa by Moody’s and (iii) have portfolio assets of at least $5,000,000,000, (f) money market funds existing on the Closing Date that are listed on </w:t>
      </w:r>
      <w:r>
        <w:rPr>
          <w:rFonts w:ascii="Times New Roman" w:hAnsi="Times New Roman"/>
          <w:sz w:val="20"/>
          <w:u w:val="single"/>
        </w:rPr>
        <w:t>Schedule 1.02</w:t>
      </w:r>
      <w:r>
        <w:rPr>
          <w:rFonts w:ascii="Times New Roman" w:hAnsi="Times New Roman"/>
          <w:sz w:val="20"/>
        </w:rPr>
        <w:t xml:space="preserve">, and (g) in the case of Foreign Subsidiaries, investments that are substantially equivalent to the foregoing investments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above that are available in the currency of the jurisdiction in which such Foreign Subsidiary is organized. </w:t>
      </w:r>
    </w:p>
    <w:p>
      <w:pPr>
        <w:pStyle w:val="TextBody"/>
        <w:bidi w:val="0"/>
        <w:spacing w:before="240" w:after="0"/>
        <w:jc w:val="left"/>
        <w:rPr/>
      </w:pPr>
      <w:r>
        <w:rPr/>
        <w:t>“</w:t>
      </w:r>
      <w:r>
        <w:rPr>
          <w:rFonts w:ascii="Times New Roman" w:hAnsi="Times New Roman"/>
          <w:b/>
          <w:sz w:val="20"/>
        </w:rPr>
        <w:t>Cash Management Agreement</w:t>
      </w:r>
      <w:r>
        <w:rPr>
          <w:rFonts w:ascii="Times New Roman" w:hAnsi="Times New Roman"/>
          <w:sz w:val="20"/>
        </w:rPr>
        <w:t xml:space="preserve">” means any agreement to provide to any Group Member any cash management services, including treasury, depository, overdraft, credit or debit card, electronic funds transfer and other cash management arrangements. </w:t>
      </w:r>
    </w:p>
    <w:p>
      <w:pPr>
        <w:pStyle w:val="TextBody"/>
        <w:bidi w:val="0"/>
        <w:spacing w:before="240" w:after="0"/>
        <w:jc w:val="left"/>
        <w:rPr/>
      </w:pPr>
      <w:r>
        <w:rPr/>
        <w:t>“</w:t>
      </w:r>
      <w:r>
        <w:rPr>
          <w:rFonts w:ascii="Times New Roman" w:hAnsi="Times New Roman"/>
          <w:b/>
          <w:sz w:val="20"/>
        </w:rPr>
        <w:t>Casualty Event</w:t>
      </w:r>
      <w:r>
        <w:rPr>
          <w:rFonts w:ascii="Times New Roman" w:hAnsi="Times New Roman"/>
          <w:sz w:val="20"/>
        </w:rPr>
        <w:t>” means any involuntary loss of title, any involuntary loss of, damage to or any destruction of, or any condemnation or other taking (including by any Governmental Authority) of, any property of any Group Member. “</w:t>
      </w:r>
      <w:r>
        <w:rPr>
          <w:rFonts w:ascii="Times New Roman" w:hAnsi="Times New Roman"/>
          <w:b/>
          <w:sz w:val="20"/>
        </w:rPr>
        <w:t>Casualty Event</w:t>
      </w:r>
      <w:r>
        <w:rPr>
          <w:rFonts w:ascii="Times New Roman" w:hAnsi="Times New Roman"/>
          <w:sz w:val="20"/>
        </w:rPr>
        <w:t xml:space="preserve">” shall include but not be limited to any taking of all or any part of any Real Property of any Person or any part thereof, in or by condemnation or other eminent domain proceedings pursuant to any Requirement of Law, or by reason of the temporary requisition of the use or occupancy of all or any part of any Real Property of any Person or any part thereof by any Governmental Authority, civil or military, or any settlement in lieu thereof. </w:t>
      </w:r>
    </w:p>
    <w:p>
      <w:pPr>
        <w:pStyle w:val="TextBody"/>
        <w:bidi w:val="0"/>
        <w:spacing w:before="240" w:after="0"/>
        <w:jc w:val="left"/>
        <w:rPr/>
      </w:pPr>
      <w:r>
        <w:rPr/>
        <w:t>“</w:t>
      </w:r>
      <w:r>
        <w:rPr>
          <w:rFonts w:ascii="Times New Roman" w:hAnsi="Times New Roman"/>
          <w:b/>
          <w:sz w:val="20"/>
        </w:rPr>
        <w:t>Casualty Event Threshold</w:t>
      </w:r>
      <w:r>
        <w:rPr>
          <w:rFonts w:ascii="Times New Roman" w:hAnsi="Times New Roman"/>
          <w:sz w:val="20"/>
        </w:rPr>
        <w:t xml:space="preserve">” has the meaning assigned to such term in </w:t>
      </w:r>
      <w:r>
        <w:rPr>
          <w:rFonts w:ascii="Times New Roman" w:hAnsi="Times New Roman"/>
          <w:sz w:val="20"/>
          <w:u w:val="single"/>
        </w:rPr>
        <w:t>Section 3.08(c)(i)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CERCLA</w:t>
      </w:r>
      <w:r>
        <w:rPr>
          <w:rFonts w:ascii="Times New Roman" w:hAnsi="Times New Roman"/>
          <w:sz w:val="20"/>
        </w:rPr>
        <w:t xml:space="preserve">” has the meaning assigned to such term in </w:t>
      </w:r>
      <w:r>
        <w:rPr>
          <w:rFonts w:ascii="Times New Roman" w:hAnsi="Times New Roman"/>
          <w:sz w:val="20"/>
          <w:u w:val="single"/>
        </w:rPr>
        <w:t>Section 10.07(f)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CFC</w:t>
      </w:r>
      <w:r>
        <w:rPr>
          <w:rFonts w:ascii="Times New Roman" w:hAnsi="Times New Roman"/>
          <w:sz w:val="20"/>
        </w:rPr>
        <w:t xml:space="preserve">” means a Foreign Subsidiary directly or indirectly owned (within the meaning of Section 958(a) of the Code) by the Issuer which Foreign Subsidiary is a controlled foreign corporation within the meaning of Section 957 of the Code. </w:t>
      </w:r>
    </w:p>
    <w:p>
      <w:pPr>
        <w:pStyle w:val="TextBody"/>
        <w:bidi w:val="0"/>
        <w:spacing w:before="240" w:after="0"/>
        <w:jc w:val="left"/>
        <w:rPr/>
      </w:pPr>
      <w:r>
        <w:rPr/>
        <w:t>“</w:t>
      </w:r>
      <w:r>
        <w:rPr>
          <w:rFonts w:ascii="Times New Roman" w:hAnsi="Times New Roman"/>
          <w:b/>
          <w:sz w:val="20"/>
        </w:rPr>
        <w:t>CFC Holding Company</w:t>
      </w:r>
      <w:r>
        <w:rPr>
          <w:rFonts w:ascii="Times New Roman" w:hAnsi="Times New Roman"/>
          <w:sz w:val="20"/>
        </w:rPr>
        <w:t xml:space="preserve">” means any Subsidiary that owns no material assets other than (i) Equity Interests or (ii) Equity Interests and Indebtedness, in each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one or more (a) CFCs or (b) other Subsidiaries that are CFC Holding Companies.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events after the Restatement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(a) the direct or indirect sale, transfer, conveyance or other disposition (other than by way of merger or consolidation), in one or a series of related transactions, of all or substantially all of the properties or assets of the Issuer and its Restricted Subsidiaries, taken as a whole, to any “person” (as that term is used in Section 13(d)(3) of the Exchange Act) (other than any Permitted Holder); </w:t>
      </w:r>
    </w:p>
    <w:p>
      <w:pPr>
        <w:pStyle w:val="TextBody"/>
        <w:bidi w:val="0"/>
        <w:spacing w:before="120" w:after="0"/>
        <w:jc w:val="left"/>
        <w:rPr>
          <w:rFonts w:ascii="Times New Roman" w:hAnsi="Times New Roman"/>
          <w:sz w:val="20"/>
        </w:rPr>
      </w:pPr>
      <w:r>
        <w:rPr>
          <w:rFonts w:ascii="Times New Roman" w:hAnsi="Times New Roman"/>
          <w:sz w:val="20"/>
        </w:rPr>
        <w:t>(b) any “person” or “group” (as such terms are used in Section 13(d) and 14(d) of the Exchange Act and the rules of the SEC thereunder as in effect on the date hereof) (other than the Permitted Holders), has acquired or owned, directly or indirectly, beneficially or of record, by way of merger, consolidation or otherwise, Equity Interests representing fifty percent (50%) or more (on a fully-diluted basis and giving effect to the conversion and exercise of all outstanding rights, warrants (including the Warrants), options, convertible securities, exchangeable securities, indebtedness or other rights, in each case, exercisable for or convertible or exchangeable into, directly or indirectly, Equity Interests (or convertible or exchangeable securities) of the Issuer, whether at the time of issuance or upon the passage of time or the occurrence of some future event (whether or not such securities are then currently convertible or exercisable and taking into account all such securities that such “person” or “group” has the right to acquire pursuant to any option right)) of the aggregate ordinary voting power represented by the issued and outstanding Equity Interests of the Issuer (irrespective of whether, at the time, Equity Interests of any other class or classes of the Issuer shall have or might have voting power by reason of the happening of any contingency). For this purpose, a person or group shall be deemed to have “beneficial ownership” of all securities that any such person or group has the right to acquire, whether such right is exercisable immediately or only after the passage of time (such right, an “</w:t>
      </w:r>
      <w:r>
        <w:rPr>
          <w:rFonts w:ascii="Times New Roman" w:hAnsi="Times New Roman"/>
          <w:b/>
          <w:sz w:val="20"/>
        </w:rPr>
        <w:t>option right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person or group shall not include any holder of Warrants); or </w:t>
      </w:r>
    </w:p>
    <w:p>
      <w:pPr>
        <w:pStyle w:val="TextBody"/>
        <w:bidi w:val="0"/>
        <w:spacing w:before="120" w:after="0"/>
        <w:jc w:val="left"/>
        <w:rPr>
          <w:rFonts w:ascii="Times New Roman" w:hAnsi="Times New Roman"/>
          <w:sz w:val="20"/>
        </w:rPr>
      </w:pPr>
      <w:r>
        <w:rPr>
          <w:rFonts w:ascii="Times New Roman" w:hAnsi="Times New Roman"/>
          <w:sz w:val="20"/>
        </w:rPr>
        <w:t xml:space="preserve">(c) during any period of 12 (twelve) consecutive months, a majority of the members of the board of directors or other equivalent governing body of the Issuer cease to be composed of individuals (i) who were members of that board or equivalent governing body at the time of the Restatement Effective Date, (ii) whose election or nomination to that board or equivalent governing body was approved by individuals referred to in </w:t>
      </w:r>
      <w:r>
        <w:rPr>
          <w:rFonts w:ascii="Times New Roman" w:hAnsi="Times New Roman"/>
          <w:sz w:val="20"/>
          <w:u w:val="single"/>
        </w:rPr>
        <w:t>sub-clause (i)</w:t>
      </w:r>
      <w:r>
        <w:rPr>
          <w:rFonts w:ascii="Times New Roman" w:hAnsi="Times New Roman"/>
          <w:sz w:val="20"/>
        </w:rPr>
        <w:t xml:space="preserve"> constituting at the time of such election or nomination at least a majority of that board or equivalent governing body, (iii) whose election or nomination to that board or other equivalent governing body was approved by individuals referred to in </w:t>
      </w:r>
      <w:r>
        <w:rPr>
          <w:rFonts w:ascii="Times New Roman" w:hAnsi="Times New Roman"/>
          <w:sz w:val="20"/>
          <w:u w:val="single"/>
        </w:rPr>
        <w:t>sub-clauses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constituting at the time of such election or nomination at least a majority of that board or equivalent governing body or (iv) whose election or nomination to that board or equivalent governing body was approved by any Permitted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preceding or any provision of Rule 13d-3 or 13d-5 of the Exchange Act, (i) a Person or group shall not be deemed to beneficially own Equity Interests subject to an equity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(ii) if any group (other than a Permitted Holder) includes one or more Permitted Holders, the issued and outstanding Equity Interests of the Issuer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Equity Interests of another Person as a result of its ownership of Equity Interests or other securities of such other Person’s parent entity (or related contractual rights) unless it owns 50% or more of the total voting power of the Equity Interests entitled to vote for the election of directors of such parent entity having a majority of the aggregate votes on the Board of such parent entity and (iv) the right to acquire Equity Interests (as long as such Person does not have the right to direct the voting of the Equity Interests subject to such right) or any veto power in connection with the acquisition or disposition of Equity Interests will not cause a party to be a beneficial owner. </w:t>
      </w:r>
    </w:p>
    <w:p>
      <w:pPr>
        <w:pStyle w:val="TextBody"/>
        <w:bidi w:val="0"/>
        <w:spacing w:before="240" w:after="0"/>
        <w:jc w:val="left"/>
        <w:rPr/>
      </w:pPr>
      <w:r>
        <w:rPr/>
        <w:t>“</w:t>
      </w:r>
      <w:r>
        <w:rPr>
          <w:rFonts w:ascii="Times New Roman" w:hAnsi="Times New Roman"/>
          <w:b/>
          <w:sz w:val="20"/>
        </w:rPr>
        <w:t>Change of Control Offer</w:t>
      </w:r>
      <w:r>
        <w:rPr>
          <w:rFonts w:ascii="Times New Roman" w:hAnsi="Times New Roman"/>
          <w:sz w:val="20"/>
        </w:rPr>
        <w:t xml:space="preserve">” has the meaning given to such term in </w:t>
      </w:r>
      <w:r>
        <w:rPr>
          <w:rFonts w:ascii="Times New Roman" w:hAnsi="Times New Roman"/>
          <w:sz w:val="20"/>
          <w:u w:val="single"/>
        </w:rPr>
        <w:t>Section 3.09(b)(ii)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Change of Control Payment Date</w:t>
      </w:r>
      <w:r>
        <w:rPr>
          <w:rFonts w:ascii="Times New Roman" w:hAnsi="Times New Roman"/>
          <w:sz w:val="20"/>
        </w:rPr>
        <w:t xml:space="preserve">” has the meaning given to such term in </w:t>
      </w:r>
      <w:r>
        <w:rPr>
          <w:rFonts w:ascii="Times New Roman" w:hAnsi="Times New Roman"/>
          <w:sz w:val="20"/>
          <w:u w:val="single"/>
        </w:rPr>
        <w:t>Section 3.09(b)(ii)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Change of Control Purchase Price</w:t>
      </w:r>
      <w:r>
        <w:rPr>
          <w:rFonts w:ascii="Times New Roman" w:hAnsi="Times New Roman"/>
          <w:sz w:val="20"/>
        </w:rPr>
        <w:t xml:space="preserve">” has the meaning given to such term in </w:t>
      </w:r>
      <w:r>
        <w:rPr>
          <w:rFonts w:ascii="Times New Roman" w:hAnsi="Times New Roman"/>
          <w:sz w:val="20"/>
          <w:u w:val="single"/>
        </w:rPr>
        <w:t>Section 3.09(a)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xml:space="preserve">” means the occurrence of both a Change of Control and a Rating Event.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means the date on which the Initial Notes were originally issued. </w:t>
      </w:r>
    </w:p>
    <w:p>
      <w:pPr>
        <w:pStyle w:val="TextBody"/>
        <w:bidi w:val="0"/>
        <w:spacing w:before="240" w:after="0"/>
        <w:jc w:val="left"/>
        <w:rPr/>
      </w:pPr>
      <w:r>
        <w:rPr/>
        <w:t>“</w:t>
      </w:r>
      <w:r>
        <w:rPr>
          <w:rFonts w:ascii="Times New Roman" w:hAnsi="Times New Roman"/>
          <w:b/>
          <w:sz w:val="20"/>
        </w:rPr>
        <w:t>Closing Date Transactions</w:t>
      </w:r>
      <w:r>
        <w:rPr>
          <w:rFonts w:ascii="Times New Roman" w:hAnsi="Times New Roman"/>
          <w:sz w:val="20"/>
        </w:rPr>
        <w:t xml:space="preserve">” means the “Transactions” under and as defined in the Prior Indenture.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means, collectively, all of the Security Agreement Collateral, all of the Mortgaged Properties and all other property of whatever kind and </w:t>
      </w:r>
      <w:r>
        <w:rPr>
          <w:rFonts w:ascii="Times New Roman" w:hAnsi="Times New Roman"/>
          <w:sz w:val="20"/>
          <w:u w:val="single"/>
        </w:rPr>
        <w:t>nature</w:t>
      </w:r>
      <w:r>
        <w:rPr>
          <w:rFonts w:ascii="Times New Roman" w:hAnsi="Times New Roman"/>
          <w:sz w:val="20"/>
        </w:rPr>
        <w:t xml:space="preserve">, whether now owned or hereinafter acquired, subject or purported to be subject from time to time to a Lien under any Security Document, but in any event excluding the Excluded Property and Excluded Equity Interests. </w:t>
      </w:r>
    </w:p>
    <w:p>
      <w:pPr>
        <w:pStyle w:val="TextBody"/>
        <w:bidi w:val="0"/>
        <w:spacing w:before="240" w:after="0"/>
        <w:jc w:val="left"/>
        <w:rPr/>
      </w:pPr>
      <w:r>
        <w:rPr/>
        <w:t>“</w:t>
      </w:r>
      <w:r>
        <w:rPr>
          <w:rFonts w:ascii="Times New Roman" w:hAnsi="Times New Roman"/>
          <w:b/>
          <w:sz w:val="20"/>
        </w:rPr>
        <w:t>Collateral Agent</w:t>
      </w:r>
      <w:r>
        <w:rPr>
          <w:rFonts w:ascii="Times New Roman" w:hAnsi="Times New Roman"/>
          <w:sz w:val="20"/>
        </w:rPr>
        <w:t xml:space="preserve">” has the meaning assigned to such term in the preamble hereto, and includes each other person appointed as a successor thereto pursuant to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of the Issuer, par value $0.01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Compliance Certificate</w:t>
      </w:r>
      <w:r>
        <w:rPr>
          <w:rFonts w:ascii="Times New Roman" w:hAnsi="Times New Roman"/>
          <w:sz w:val="20"/>
        </w:rPr>
        <w:t xml:space="preserve">” means a certificate of a Financial Officer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the applicability and length of lookback periods, the applicability of </w:t>
      </w:r>
      <w:r>
        <w:rPr>
          <w:rFonts w:ascii="Times New Roman" w:hAnsi="Times New Roman"/>
          <w:sz w:val="20"/>
          <w:u w:val="single"/>
        </w:rPr>
        <w:t>Section 2.17</w:t>
      </w:r>
      <w:r>
        <w:rPr>
          <w:rFonts w:ascii="Times New Roman" w:hAnsi="Times New Roman"/>
          <w:sz w:val="20"/>
        </w:rPr>
        <w:t xml:space="preserve"> and other technical, administrative or operational matters) that the Issuer (with the approval of the Controlling Party) decides may be appropriate to reflect the adoption and implementation of any such rate or to permit the use and administration thereof in a manner substantially consistent with market practice (or, if the Issuer (with the approval of the Controlling Party) decides that adoption of any portion of such market practice is not administratively feasible or if the Issuer (with the approval of the Controlling Party) determines that no market practice for the administration of any such rate exists, in such other manner of administration as the Issuer (with the approval of the Controlling Party) decides is reasonably necessary in connection with the administration of this Indenture and the other Note Documents). </w:t>
      </w:r>
    </w:p>
    <w:p>
      <w:pPr>
        <w:pStyle w:val="TextBody"/>
        <w:bidi w:val="0"/>
        <w:spacing w:before="240" w:after="0"/>
        <w:jc w:val="left"/>
        <w:rPr/>
      </w:pPr>
      <w:r>
        <w:rPr/>
        <w:t>“</w:t>
      </w:r>
      <w:r>
        <w:rPr>
          <w:rFonts w:ascii="Times New Roman" w:hAnsi="Times New Roman"/>
          <w:b/>
          <w:sz w:val="20"/>
        </w:rPr>
        <w:t>Consolidated Current Assets</w:t>
      </w:r>
      <w:r>
        <w:rPr>
          <w:rFonts w:ascii="Times New Roman" w:hAnsi="Times New Roman"/>
          <w:sz w:val="20"/>
        </w:rPr>
        <w:t xml:space="preserve">” means, as at any date of determination, the total assets of Issuer and its Restricted Subsidiaries which may properly be classified as current assets (excluding deferred tax assets without duplication of amounts otherwise added in calculating Excess Cash Flow) on a consolidated balance sheet of Issuer and its Restricted Subsidiaries in accordance with GAAP, excluding cash and Cash Equivalents; </w:t>
      </w:r>
      <w:r>
        <w:rPr>
          <w:rFonts w:ascii="Times New Roman" w:hAnsi="Times New Roman"/>
          <w:i/>
          <w:sz w:val="20"/>
        </w:rPr>
        <w:t>provided</w:t>
      </w:r>
      <w:r>
        <w:rPr>
          <w:rFonts w:ascii="Times New Roman" w:hAnsi="Times New Roman"/>
          <w:sz w:val="20"/>
        </w:rPr>
        <w:t xml:space="preserve">, that, Consolidated Current Assets shall be calculated without giving effect to the impact of purchase accounting. </w:t>
      </w:r>
    </w:p>
    <w:p>
      <w:pPr>
        <w:pStyle w:val="TextBody"/>
        <w:bidi w:val="0"/>
        <w:spacing w:before="240" w:after="0"/>
        <w:jc w:val="left"/>
        <w:rPr/>
      </w:pPr>
      <w:r>
        <w:rPr/>
        <w:t>“</w:t>
      </w:r>
      <w:r>
        <w:rPr>
          <w:rFonts w:ascii="Times New Roman" w:hAnsi="Times New Roman"/>
          <w:b/>
          <w:sz w:val="20"/>
        </w:rPr>
        <w:t>Consolidated Current Liabilities</w:t>
      </w:r>
      <w:r>
        <w:rPr>
          <w:rFonts w:ascii="Times New Roman" w:hAnsi="Times New Roman"/>
          <w:sz w:val="20"/>
        </w:rPr>
        <w:t xml:space="preserve">” means, as at any date of determination, the total liabilities (excluding deferred taxes and taxes payable, in each case, without duplication of amounts otherwise deducted in calculating Excess Cash Flow) of Issuer and its Restricted Subsidiaries which may properly be classified as current liabilities (other than the current portion of any Indebtedness and other long term liabilities, and accrued interest thereon) on a consolidated balance sheet of Issuer and its Restricted Subsidiaries in accordance with GAAP; </w:t>
      </w:r>
      <w:r>
        <w:rPr>
          <w:rFonts w:ascii="Times New Roman" w:hAnsi="Times New Roman"/>
          <w:i/>
          <w:sz w:val="20"/>
        </w:rPr>
        <w:t>provided</w:t>
      </w:r>
      <w:r>
        <w:rPr>
          <w:rFonts w:ascii="Times New Roman" w:hAnsi="Times New Roman"/>
          <w:sz w:val="20"/>
        </w:rPr>
        <w:t xml:space="preserve">, that, Consolidated Current Liabilities shall be calculated without giving effect to the impact of purchase accounting. </w:t>
      </w:r>
    </w:p>
    <w:p>
      <w:pPr>
        <w:pStyle w:val="TextBody"/>
        <w:bidi w:val="0"/>
        <w:spacing w:before="240" w:after="0"/>
        <w:jc w:val="left"/>
        <w:rPr/>
      </w:pPr>
      <w:r>
        <w:rPr/>
        <w:t>“</w:t>
      </w:r>
      <w:r>
        <w:rPr>
          <w:rFonts w:ascii="Times New Roman" w:hAnsi="Times New Roman"/>
          <w:b/>
          <w:sz w:val="20"/>
        </w:rPr>
        <w:t>Consolidated EBITDA</w:t>
      </w:r>
      <w:r>
        <w:rPr>
          <w:rFonts w:ascii="Times New Roman" w:hAnsi="Times New Roman"/>
          <w:sz w:val="20"/>
        </w:rPr>
        <w:t xml:space="preserve">” means, for any period for Issuer and its Restricted Subsidiaries, the sum of: </w:t>
      </w:r>
    </w:p>
    <w:p>
      <w:pPr>
        <w:pStyle w:val="TextBody"/>
        <w:bidi w:val="0"/>
        <w:spacing w:before="120" w:after="0"/>
        <w:jc w:val="left"/>
        <w:rPr>
          <w:rFonts w:ascii="Times New Roman" w:hAnsi="Times New Roman"/>
          <w:sz w:val="20"/>
        </w:rPr>
      </w:pPr>
      <w:r>
        <w:rPr>
          <w:rFonts w:ascii="Times New Roman" w:hAnsi="Times New Roman"/>
          <w:sz w:val="20"/>
        </w:rPr>
        <w:t xml:space="preserve">(a) Consolidated Net Income for such period (excluding therefrom any unusual or extraordinary items of gain or loss);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without duplication, those amounts which, in the determination of Consolidated Net Income for such period, have been deducted for: </w:t>
      </w:r>
    </w:p>
    <w:p>
      <w:pPr>
        <w:pStyle w:val="TextBody"/>
        <w:bidi w:val="0"/>
        <w:spacing w:before="120" w:after="0"/>
        <w:jc w:val="left"/>
        <w:rPr>
          <w:rFonts w:ascii="Times New Roman" w:hAnsi="Times New Roman"/>
          <w:sz w:val="20"/>
        </w:rPr>
      </w:pPr>
      <w:r>
        <w:rPr>
          <w:rFonts w:ascii="Times New Roman" w:hAnsi="Times New Roman"/>
          <w:sz w:val="20"/>
        </w:rPr>
        <w:t xml:space="preserve">(i) Consolidated Interest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provisions for federal, state, local and foreign income, value added, franchise, margin and similar Taxes; </w:t>
      </w:r>
    </w:p>
    <w:p>
      <w:pPr>
        <w:pStyle w:val="TextBody"/>
        <w:bidi w:val="0"/>
        <w:spacing w:before="120" w:after="0"/>
        <w:jc w:val="left"/>
        <w:rPr>
          <w:rFonts w:ascii="Times New Roman" w:hAnsi="Times New Roman"/>
          <w:sz w:val="20"/>
        </w:rPr>
      </w:pPr>
      <w:r>
        <w:rPr>
          <w:rFonts w:ascii="Times New Roman" w:hAnsi="Times New Roman"/>
          <w:sz w:val="20"/>
        </w:rPr>
        <w:t xml:space="preserve">(iii) depreciation, amortization (including, without limitation, amortization of goodwill and other intangible assets), impairment of goodwill and other non-cash charges or expenses (excluding any such non-cash charge or expense to the extent that it represents amortization of a prepaid cash expense that was paid in a prior period); </w:t>
      </w:r>
    </w:p>
    <w:p>
      <w:pPr>
        <w:pStyle w:val="TextBody"/>
        <w:bidi w:val="0"/>
        <w:spacing w:before="120" w:after="0"/>
        <w:jc w:val="left"/>
        <w:rPr>
          <w:rFonts w:ascii="Times New Roman" w:hAnsi="Times New Roman"/>
          <w:sz w:val="20"/>
        </w:rPr>
      </w:pPr>
      <w:r>
        <w:rPr>
          <w:rFonts w:ascii="Times New Roman" w:hAnsi="Times New Roman"/>
          <w:sz w:val="20"/>
        </w:rPr>
        <w:t xml:space="preserve">(iv) non-cash compensation expense, or other non-cash expenses or charges, arising from the granting of stock options, the granting of stock appreciation rights and similar arrangements (including any repricing, amendment, modification, substitution or change of any such stock option, stock appreciation rights or similar arrangements); </w:t>
      </w:r>
    </w:p>
    <w:p>
      <w:pPr>
        <w:pStyle w:val="TextBody"/>
        <w:bidi w:val="0"/>
        <w:spacing w:before="120" w:after="0"/>
        <w:jc w:val="left"/>
        <w:rPr>
          <w:rFonts w:ascii="Times New Roman" w:hAnsi="Times New Roman"/>
          <w:sz w:val="20"/>
        </w:rPr>
      </w:pPr>
      <w:r>
        <w:rPr>
          <w:rFonts w:ascii="Times New Roman" w:hAnsi="Times New Roman"/>
          <w:sz w:val="20"/>
        </w:rPr>
        <w:t xml:space="preserve">(v) any (A) financial advisory fees, underwriting fees, accounting fees, legal fees and other similar advisory and consulting fees and related out-of-pocket advisory and consulting expenses, and (B) prepayment premiums, breakage costs and interest rate indemnities, redeployment costs or funding costs, with respect to each of </w:t>
      </w:r>
      <w:r>
        <w:rPr>
          <w:rFonts w:ascii="Times New Roman" w:hAnsi="Times New Roman"/>
          <w:sz w:val="20"/>
          <w:u w:val="single"/>
        </w:rPr>
        <w:t>clause (A)</w:t>
      </w:r>
      <w:r>
        <w:rPr>
          <w:rFonts w:ascii="Times New Roman" w:hAnsi="Times New Roman"/>
          <w:sz w:val="20"/>
        </w:rPr>
        <w:t xml:space="preserve"> and </w:t>
      </w:r>
      <w:r>
        <w:rPr>
          <w:rFonts w:ascii="Times New Roman" w:hAnsi="Times New Roman"/>
          <w:sz w:val="20"/>
          <w:u w:val="single"/>
        </w:rPr>
        <w:t>clause (B)</w:t>
      </w:r>
      <w:r>
        <w:rPr>
          <w:rFonts w:ascii="Times New Roman" w:hAnsi="Times New Roman"/>
          <w:sz w:val="20"/>
        </w:rPr>
        <w:t xml:space="preserve"> incurred by the Issuer and its Restricted Subsidiaries as a result of, or in connection with, any issuance, incurrence, refinancing, redemption, repayment or prepayment of Indebtedness, to the extent permitted under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(vi) any (A) financial advisory fees, accounting fees, legal fees and other similar advisory and consulting fees and related out-of-pocket advisory and consulting expenses, and (B) all cash and non-cash restructuring and integration charges, costs, and expenses, in each case incurred by the Issuer and its Restricted Subsidiaries as a result of any Permitted Acquisition or other internal restructuring and deducted from net income, and, in the case of the items described in this </w:t>
      </w:r>
      <w:r>
        <w:rPr>
          <w:rFonts w:ascii="Times New Roman" w:hAnsi="Times New Roman"/>
          <w:sz w:val="20"/>
          <w:u w:val="single"/>
        </w:rPr>
        <w:t>sub-clause (B)</w:t>
      </w:r>
      <w:r>
        <w:rPr>
          <w:rFonts w:ascii="Times New Roman" w:hAnsi="Times New Roman"/>
          <w:sz w:val="20"/>
        </w:rPr>
        <w:t xml:space="preserve">, which are factually supportable, identifiable and documented, and which are not objected to by the Trustee (acting at the direction of the Controlling Parties); </w:t>
      </w:r>
      <w:r>
        <w:rPr>
          <w:rFonts w:ascii="Times New Roman" w:hAnsi="Times New Roman"/>
          <w:i/>
          <w:sz w:val="20"/>
        </w:rPr>
        <w:t>provided</w:t>
      </w:r>
      <w:r>
        <w:rPr>
          <w:rFonts w:ascii="Times New Roman" w:hAnsi="Times New Roman"/>
          <w:sz w:val="20"/>
        </w:rPr>
        <w:t xml:space="preserve">, that, the aggregate amount of such costs and expenses under this </w:t>
      </w:r>
      <w:r>
        <w:rPr>
          <w:rFonts w:ascii="Times New Roman" w:hAnsi="Times New Roman"/>
          <w:sz w:val="20"/>
          <w:u w:val="single"/>
        </w:rPr>
        <w:t>sub-clause (B)</w:t>
      </w:r>
      <w:r>
        <w:rPr>
          <w:rFonts w:ascii="Times New Roman" w:hAnsi="Times New Roman"/>
          <w:sz w:val="20"/>
        </w:rPr>
        <w:t xml:space="preserve"> shall not exceed ten percent (10%) of Consolidated EBITDA;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any amount which, in the determination of Consolidated Net Income for such period, has been added for any non-cash income or non-cash gains, all as determined in accordance with GAAP;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aggregate amount of cash payments made during such period in respect of any non-cash accrual, reserve or other non-cash charge or expense accounted for in a prior period which were added to Consolidated Net Income to determine Consolidated EBITDA for such prior period and which do not otherwise reduce Consolidated Net Income for the current period.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calculating Consolidated EBITDA for any Test Period pursuant to any determination of the Total Net Leverage Ratio, Secured Net Leverage Ratio, or ratio of Consolidated Total Indebtedness to Consolidated EBITDA, if during such period (or in the case of pro-forma calculations, during the period from the last day of such period to and including the date as of which such calculation is made) the Issuer or one or more of its Restricted Subsidiaries shall have made a Subject Transaction, Consolidated EBITDA for such period shall be calculated after giving effect thereto on a pro-forma basis. Other than for purposes of calculating Excess Cash Flow, Consolidated EBITDA shall be calculated on a Pro Forma Basis to give effect to any Subject Transaction as if it occurred on the first day of the reference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Consolidated Interest Expense</w:t>
      </w:r>
      <w:r>
        <w:rPr>
          <w:rFonts w:ascii="Times New Roman" w:hAnsi="Times New Roman"/>
          <w:sz w:val="20"/>
        </w:rPr>
        <w:t xml:space="preserve">” means, for any period the sum of (a) the amount of interest expense, both expensed and capitalized (excluding amortization and write offs of debt discount and debt issuance costs and any other non-cash interest expense or accretions of discounts), net of interest income, of Issuer and its Restricted Subsidiaries, determined on a consolidated basis in accordance with GAAP, for such period and (b) dividends paid in cash during such period on preferred stock issued by Issuer or any of its Restricted Subsidiaries; </w:t>
      </w:r>
      <w:r>
        <w:rPr>
          <w:rFonts w:ascii="Times New Roman" w:hAnsi="Times New Roman"/>
          <w:i/>
          <w:sz w:val="20"/>
        </w:rPr>
        <w:t>provided</w:t>
      </w:r>
      <w:r>
        <w:rPr>
          <w:rFonts w:ascii="Times New Roman" w:hAnsi="Times New Roman"/>
          <w:sz w:val="20"/>
        </w:rPr>
        <w:t xml:space="preserve">, that, for purposes of calculating Consolidated Interest Expense for any period for determining the Total Net Leverage Ratio, if during such period (or in the case of pro-forma calculations, during the period from the last day of such period to and including the date as of which such calculation is made) Issuer or one or more of its Restricted Subsidiaries shall have made a Subject Transaction, then Consolidated Interest Expense for such period shall be calculated after giving effect thereto on a Pro Forma Basis. </w:t>
      </w:r>
    </w:p>
    <w:p>
      <w:pPr>
        <w:pStyle w:val="TextBody"/>
        <w:bidi w:val="0"/>
        <w:spacing w:before="240" w:after="0"/>
        <w:jc w:val="left"/>
        <w:rPr/>
      </w:pPr>
      <w:r>
        <w:rPr/>
        <w:t>“</w:t>
      </w:r>
      <w:r>
        <w:rPr>
          <w:rFonts w:ascii="Times New Roman" w:hAnsi="Times New Roman"/>
          <w:b/>
          <w:sz w:val="20"/>
        </w:rPr>
        <w:t>Consolidated Net Income</w:t>
      </w:r>
      <w:r>
        <w:rPr>
          <w:rFonts w:ascii="Times New Roman" w:hAnsi="Times New Roman"/>
          <w:sz w:val="20"/>
        </w:rPr>
        <w:t xml:space="preserve">” means, for any period, the net income (or net loss) after taxes of the Issuer and its Restricted Subsidiaries for such period, determined on a consolidated basis in accordance with GAAP; </w:t>
      </w:r>
      <w:r>
        <w:rPr>
          <w:rFonts w:ascii="Times New Roman" w:hAnsi="Times New Roman"/>
          <w:i/>
          <w:sz w:val="20"/>
        </w:rPr>
        <w:t>provided</w:t>
      </w:r>
      <w:r>
        <w:rPr>
          <w:rFonts w:ascii="Times New Roman" w:hAnsi="Times New Roman"/>
          <w:sz w:val="20"/>
        </w:rPr>
        <w:t xml:space="preserve">, that, there shall be excluded from the calculation of Consolidated Net Income for such period (a) the income (or loss) of any Person in which any other Person (other than the Issuer or any of its Wholly Owned Subsidiaries) has an ownership interest, except to the extent that any such income is actually received in cash by the Issuer or such Wholly Owned Restricted Subsidiary in the form of dividends or other equity distributions during such period, (b) the income (or loss) of any Person accrued prior to the date it becomes a Restricted Subsidiary or is merged with or into or consolidated with the Issuer or any of its Restricted Subsidiaries or that Person’s assets are acquired by the Issuer or any of its Restricted Subsidiaries and (c) the income of any Subsidiary of the Issuer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w:t>
      </w:r>
    </w:p>
    <w:p>
      <w:pPr>
        <w:pStyle w:val="TextBody"/>
        <w:bidi w:val="0"/>
        <w:spacing w:before="240" w:after="0"/>
        <w:jc w:val="left"/>
        <w:rPr/>
      </w:pPr>
      <w:r>
        <w:rPr/>
        <w:t>“</w:t>
      </w:r>
      <w:r>
        <w:rPr>
          <w:rFonts w:ascii="Times New Roman" w:hAnsi="Times New Roman"/>
          <w:b/>
          <w:sz w:val="20"/>
        </w:rPr>
        <w:t>Consolidated Operating Cash Flow</w:t>
      </w:r>
      <w:r>
        <w:rPr>
          <w:rFonts w:ascii="Times New Roman" w:hAnsi="Times New Roman"/>
          <w:sz w:val="20"/>
        </w:rPr>
        <w:t xml:space="preserve">” for any period means the operating cash flow of the Issuer and its Restricted Subsidiaries, in each case for such period determined on a consolidated basis in accordance with GAAP; provided that there shall be excluded in calculating such operating cash flow, to the extent otherwise included therein,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operating cash flow of any Person (other than a Restricted Subsidiary) in which any Person other than the Issuer and the Restricted Subsidiaries has an ownership interest, except to the extent that cash in an amount equal to any such income has actually been received by the Issuer or any of its Restricted Subsidiaries during such period; </w:t>
      </w:r>
    </w:p>
    <w:p>
      <w:pPr>
        <w:pStyle w:val="TextBody"/>
        <w:bidi w:val="0"/>
        <w:spacing w:before="120" w:after="0"/>
        <w:jc w:val="left"/>
        <w:rPr>
          <w:rFonts w:ascii="Times New Roman" w:hAnsi="Times New Roman"/>
          <w:sz w:val="20"/>
        </w:rPr>
      </w:pPr>
      <w:r>
        <w:rPr>
          <w:rFonts w:ascii="Times New Roman" w:hAnsi="Times New Roman"/>
          <w:sz w:val="20"/>
        </w:rPr>
        <w:t xml:space="preserve">(b) except to the extent includible in the operating cash flow of the Issuer pursuant to the foregoing </w:t>
      </w:r>
      <w:r>
        <w:rPr>
          <w:rFonts w:ascii="Times New Roman" w:hAnsi="Times New Roman"/>
          <w:sz w:val="20"/>
          <w:u w:val="single"/>
        </w:rPr>
        <w:t>clause (a)</w:t>
      </w:r>
      <w:r>
        <w:rPr>
          <w:rFonts w:ascii="Times New Roman" w:hAnsi="Times New Roman"/>
          <w:sz w:val="20"/>
        </w:rPr>
        <w:t xml:space="preserve">, the operating cash flow of any Person that accrued prior to the date that (i) such Person becomes a Restricted Subsidiary or is merged into or consolidated with the Issuer or any Restricted Subsidiary or (ii) the assets of such Person are acquired by the Issuer or any Restricted Subsidiary;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operating cash flow of any Restricted Subsidiary other than a Subsidiary Guarantor during such period to the extent that the declaration or payment of dividends or similar distributions by such Restricted Subsidiary of that operating cash flow is not permitted by operation of the terms of its charter or any agreement, instrument, judgment, decree, order, statute, rule or governmental regulation applicable to such Restricted Subsidiary during such period, unless such restriction with respect to the payment of dividends has been legally waived. </w:t>
      </w:r>
    </w:p>
    <w:p>
      <w:pPr>
        <w:pStyle w:val="TextBody"/>
        <w:bidi w:val="0"/>
        <w:spacing w:before="240" w:after="0"/>
        <w:jc w:val="left"/>
        <w:rPr/>
      </w:pPr>
      <w:r>
        <w:rPr/>
        <w:t>“</w:t>
      </w:r>
      <w:r>
        <w:rPr>
          <w:rFonts w:ascii="Times New Roman" w:hAnsi="Times New Roman"/>
          <w:b/>
          <w:sz w:val="20"/>
        </w:rPr>
        <w:t>Consolidated Secured Indebtedness</w:t>
      </w:r>
      <w:r>
        <w:rPr>
          <w:rFonts w:ascii="Times New Roman" w:hAnsi="Times New Roman"/>
          <w:sz w:val="20"/>
        </w:rPr>
        <w:t xml:space="preserve">” means, as of any date of determination, all Indebtedness of the Issuer and its Restricted Subsidiaries that is secured by a Lien on the assets constituting Collateral, determined on a consolidated basis in accordance with GAAP, but excluding any obligations in respect of hedging arrangements. </w:t>
      </w:r>
    </w:p>
    <w:p>
      <w:pPr>
        <w:pStyle w:val="TextBody"/>
        <w:bidi w:val="0"/>
        <w:spacing w:before="240" w:after="0"/>
        <w:jc w:val="left"/>
        <w:rPr/>
      </w:pPr>
      <w:r>
        <w:rPr/>
        <w:t>“</w:t>
      </w:r>
      <w:r>
        <w:rPr>
          <w:rFonts w:ascii="Times New Roman" w:hAnsi="Times New Roman"/>
          <w:b/>
          <w:sz w:val="20"/>
        </w:rPr>
        <w:t>Consolidated Total Assets</w:t>
      </w:r>
      <w:r>
        <w:rPr>
          <w:rFonts w:ascii="Times New Roman" w:hAnsi="Times New Roman"/>
          <w:sz w:val="20"/>
        </w:rPr>
        <w:t xml:space="preserve">” means, at any date, the total consolidated assets of the Issuer and its Subsidiaries determined on a consolidated basis in accordance with GAAP (and excluding all intercompany items) as of the date of the most recent financial statements delivered in accordance with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of this Indenture. </w:t>
      </w:r>
    </w:p>
    <w:p>
      <w:pPr>
        <w:pStyle w:val="TextBody"/>
        <w:bidi w:val="0"/>
        <w:spacing w:before="240" w:after="0"/>
        <w:jc w:val="left"/>
        <w:rPr/>
      </w:pPr>
      <w:r>
        <w:rPr/>
        <w:t>“</w:t>
      </w:r>
      <w:r>
        <w:rPr>
          <w:rFonts w:ascii="Times New Roman" w:hAnsi="Times New Roman"/>
          <w:b/>
          <w:sz w:val="20"/>
        </w:rPr>
        <w:t>Consolidated Total Indebtedness</w:t>
      </w:r>
      <w:r>
        <w:rPr>
          <w:rFonts w:ascii="Times New Roman" w:hAnsi="Times New Roman"/>
          <w:sz w:val="20"/>
        </w:rPr>
        <w:t xml:space="preserve">” means, as of any date of determination, all Indebtedness of the Issuer and its Restricted Subsidiaries, determined on a consolidated basis in accordance with GAAP, but excluding (a) any obligations in respect of hedging arrangements and (b) solely for purposes of (x) calculating compliance with any financial maintenance covenant set forth in </w:t>
      </w:r>
      <w:r>
        <w:rPr>
          <w:rFonts w:ascii="Times New Roman" w:hAnsi="Times New Roman"/>
          <w:sz w:val="20"/>
          <w:u w:val="single"/>
        </w:rPr>
        <w:t>Section 6.08</w:t>
      </w:r>
      <w:r>
        <w:rPr>
          <w:rFonts w:ascii="Times New Roman" w:hAnsi="Times New Roman"/>
          <w:sz w:val="20"/>
        </w:rPr>
        <w:t xml:space="preserve"> (including the Total Net Leverage Ratio and any Interest Coverage Ratio), (y) determining the satisfaction of any incurrence-based test, ratio or basket set forth in this Indenture or any other Note Document and (z) calculating the Secured Net Leverage Ratio, all Capital Lease Obligations. </w:t>
      </w:r>
    </w:p>
    <w:p>
      <w:pPr>
        <w:pStyle w:val="TextBody"/>
        <w:bidi w:val="0"/>
        <w:spacing w:before="240" w:after="0"/>
        <w:jc w:val="left"/>
        <w:rPr/>
      </w:pPr>
      <w:r>
        <w:rPr/>
        <w:t>“</w:t>
      </w:r>
      <w:r>
        <w:rPr>
          <w:rFonts w:ascii="Times New Roman" w:hAnsi="Times New Roman"/>
          <w:b/>
          <w:sz w:val="20"/>
        </w:rPr>
        <w:t>Contingent Obligation</w:t>
      </w:r>
      <w:r>
        <w:rPr>
          <w:rFonts w:ascii="Times New Roman" w:hAnsi="Times New Roman"/>
          <w:sz w:val="20"/>
        </w:rPr>
        <w:t>” means, as to any person, any obligation or agreement of such person guaranteeing or intended to guarantee any Indebtedness, leases, Dividends or other obligations (“</w:t>
      </w:r>
      <w:r>
        <w:rPr>
          <w:rFonts w:ascii="Times New Roman" w:hAnsi="Times New Roman"/>
          <w:b/>
          <w:sz w:val="20"/>
        </w:rPr>
        <w:t>primary obligations</w:t>
      </w:r>
      <w:r>
        <w:rPr>
          <w:rFonts w:ascii="Times New Roman" w:hAnsi="Times New Roman"/>
          <w:sz w:val="20"/>
        </w:rPr>
        <w:t>”) of any other person (the “</w:t>
      </w:r>
      <w:r>
        <w:rPr>
          <w:rFonts w:ascii="Times New Roman" w:hAnsi="Times New Roman"/>
          <w:b/>
          <w:sz w:val="20"/>
        </w:rPr>
        <w:t>primary obligor</w:t>
      </w:r>
      <w:r>
        <w:rPr>
          <w:rFonts w:ascii="Times New Roman" w:hAnsi="Times New Roman"/>
          <w:sz w:val="20"/>
        </w:rPr>
        <w:t xml:space="preserve">”) in any manner, whether directly or indirectly, including, without limitation, any such obligation or agreement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with respect to bankers’ acceptances, letters of credit and similar credit arrangements, until a reimbursement obligation arises (which reimbursement obligation shall constitute Indebtedness); or (e) otherwise to assure or hold harmless the holder of such primary obligation against loss in respect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term “Contingent Obligation” shall not include endorsements of instruments for deposit or collection in the ordinary course of business or any product warranties or other similar contingent obligations incurred in the ordinary course of business, including indemnities.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whether singly or jointly, pursuant to the terms of the instrument evidencing such Contingent Obligation) or, if not stated or determinable, the maximum reasonably anticipated liability in respect thereof (assuming such person is required to perform thereunder) as determined by such person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Control</w:t>
      </w:r>
      <w:r>
        <w:rPr>
          <w:rFonts w:ascii="Times New Roman" w:hAnsi="Times New Roman"/>
          <w:sz w:val="20"/>
        </w:rPr>
        <w:t>” means the possession, directly or indirectly, of the power to direct or cause the direction of the management or policies of a person, whether through the ownership of voting securities, by contract or otherwise, and the terms “</w:t>
      </w:r>
      <w:r>
        <w:rPr>
          <w:rFonts w:ascii="Times New Roman" w:hAnsi="Times New Roman"/>
          <w:b/>
          <w:sz w:val="20"/>
        </w:rPr>
        <w:t>Controlling</w:t>
      </w:r>
      <w:r>
        <w:rPr>
          <w:rFonts w:ascii="Times New Roman" w:hAnsi="Times New Roman"/>
          <w:sz w:val="20"/>
        </w:rPr>
        <w:t>” and “</w:t>
      </w:r>
      <w:r>
        <w:rPr>
          <w:rFonts w:ascii="Times New Roman" w:hAnsi="Times New Roman"/>
          <w:b/>
          <w:sz w:val="20"/>
        </w:rPr>
        <w:t>Controlled</w:t>
      </w:r>
      <w:r>
        <w:rPr>
          <w:rFonts w:ascii="Times New Roman" w:hAnsi="Times New Roman"/>
          <w:sz w:val="20"/>
        </w:rPr>
        <w:t xml:space="preserve">” shall have meanings correlative thereto. </w:t>
      </w:r>
    </w:p>
    <w:p>
      <w:pPr>
        <w:pStyle w:val="TextBody"/>
        <w:bidi w:val="0"/>
        <w:spacing w:before="240" w:after="0"/>
        <w:jc w:val="left"/>
        <w:rPr/>
      </w:pPr>
      <w:r>
        <w:rPr/>
        <w:t>“</w:t>
      </w:r>
      <w:r>
        <w:rPr>
          <w:rFonts w:ascii="Times New Roman" w:hAnsi="Times New Roman"/>
          <w:b/>
          <w:sz w:val="20"/>
        </w:rPr>
        <w:t>Controlled Investment Affiliate</w:t>
      </w:r>
      <w:r>
        <w:rPr>
          <w:rFonts w:ascii="Times New Roman" w:hAnsi="Times New Roman"/>
          <w:sz w:val="20"/>
        </w:rPr>
        <w:t xml:space="preserve">” 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the Issuer or its Subsidiaries. </w:t>
      </w:r>
    </w:p>
    <w:p>
      <w:pPr>
        <w:pStyle w:val="TextBody"/>
        <w:bidi w:val="0"/>
        <w:spacing w:before="240" w:after="0"/>
        <w:jc w:val="left"/>
        <w:rPr/>
      </w:pPr>
      <w:r>
        <w:rPr/>
        <w:t>“</w:t>
      </w:r>
      <w:r>
        <w:rPr>
          <w:rFonts w:ascii="Times New Roman" w:hAnsi="Times New Roman"/>
          <w:b/>
          <w:sz w:val="20"/>
        </w:rPr>
        <w:t>Controlling Party</w:t>
      </w:r>
      <w:r>
        <w:rPr>
          <w:rFonts w:ascii="Times New Roman" w:hAnsi="Times New Roman"/>
          <w:sz w:val="20"/>
        </w:rPr>
        <w:t>” or “</w:t>
      </w:r>
      <w:r>
        <w:rPr>
          <w:rFonts w:ascii="Times New Roman" w:hAnsi="Times New Roman"/>
          <w:b/>
          <w:sz w:val="20"/>
        </w:rPr>
        <w:t>Controlling Parties</w:t>
      </w:r>
      <w:r>
        <w:rPr>
          <w:rFonts w:ascii="Times New Roman" w:hAnsi="Times New Roman"/>
          <w:sz w:val="20"/>
        </w:rPr>
        <w:t xml:space="preserve">” means (a) prior to the Disposition Date, the Specified Holders, and (b) from and after the Disposition Date, (i) except as provided in </w:t>
      </w:r>
      <w:r>
        <w:rPr>
          <w:rFonts w:ascii="Times New Roman" w:hAnsi="Times New Roman"/>
          <w:sz w:val="20"/>
          <w:u w:val="single"/>
        </w:rPr>
        <w:t>clause (ii)</w:t>
      </w:r>
      <w:r>
        <w:rPr>
          <w:rFonts w:ascii="Times New Roman" w:hAnsi="Times New Roman"/>
          <w:sz w:val="20"/>
        </w:rPr>
        <w:t xml:space="preserve">, Holders of at least a majority in aggregate principal amount of the outstanding Notes and (ii) solely for the purpose of exercising remedies pursuant to </w:t>
      </w:r>
      <w:r>
        <w:rPr>
          <w:rFonts w:ascii="Times New Roman" w:hAnsi="Times New Roman"/>
          <w:sz w:val="20"/>
          <w:u w:val="single"/>
        </w:rPr>
        <w:t>Section 8.01</w:t>
      </w:r>
      <w:r>
        <w:rPr>
          <w:rFonts w:ascii="Times New Roman" w:hAnsi="Times New Roman"/>
          <w:sz w:val="20"/>
        </w:rPr>
        <w:t xml:space="preserve">, Holders of at least 30% of the aggregate principal amount of the outstanding Notes. </w:t>
      </w:r>
    </w:p>
    <w:p>
      <w:pPr>
        <w:pStyle w:val="TextBody"/>
        <w:bidi w:val="0"/>
        <w:spacing w:before="240" w:after="0"/>
        <w:jc w:val="left"/>
        <w:rPr/>
      </w:pPr>
      <w:r>
        <w:rPr/>
        <w:t>“</w:t>
      </w:r>
      <w:r>
        <w:rPr>
          <w:rFonts w:ascii="Times New Roman" w:hAnsi="Times New Roman"/>
          <w:b/>
          <w:sz w:val="20"/>
        </w:rPr>
        <w:t>Covenant Defeasance</w:t>
      </w:r>
      <w:r>
        <w:rPr>
          <w:rFonts w:ascii="Times New Roman" w:hAnsi="Times New Roman"/>
          <w:sz w:val="20"/>
        </w:rPr>
        <w:t xml:space="preserve">” has the meaning assigned to such term in </w:t>
      </w:r>
      <w:r>
        <w:rPr>
          <w:rFonts w:ascii="Times New Roman" w:hAnsi="Times New Roman"/>
          <w:sz w:val="20"/>
          <w:u w:val="single"/>
        </w:rPr>
        <w:t>Section 11.03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Cumulative Amount</w:t>
      </w:r>
      <w:r>
        <w:rPr>
          <w:rFonts w:ascii="Times New Roman" w:hAnsi="Times New Roman"/>
          <w:sz w:val="20"/>
        </w:rPr>
        <w:t>” means, on any date of determination (the “</w:t>
      </w:r>
      <w:r>
        <w:rPr>
          <w:rFonts w:ascii="Times New Roman" w:hAnsi="Times New Roman"/>
          <w:b/>
          <w:sz w:val="20"/>
        </w:rPr>
        <w:t>Reference Date</w:t>
      </w:r>
      <w:r>
        <w:rPr>
          <w:rFonts w:ascii="Times New Roman" w:hAnsi="Times New Roman"/>
          <w:sz w:val="20"/>
        </w:rPr>
        <w:t xml:space="preserve">”), the sum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$5,000,000;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Available Retained ECF Amount;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an amount equal to the fair market value (as determined by the Issuer) of any assets contributed to the Issuer or any of its Restricted Subsidiaries after the Closing Date;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120" w:after="0"/>
        <w:jc w:val="left"/>
        <w:rPr>
          <w:rFonts w:ascii="Times New Roman" w:hAnsi="Times New Roman"/>
          <w:sz w:val="20"/>
        </w:rPr>
      </w:pPr>
      <w:r>
        <w:rPr>
          <w:rFonts w:ascii="Times New Roman" w:hAnsi="Times New Roman"/>
          <w:sz w:val="20"/>
        </w:rPr>
        <w:t xml:space="preserve">(e) to the extent not already included in the calculation of Consolidated Net Income of the Issuer and its Restricted Subsidiaries, the aggregate amount of all returns, profits, distributions and similar amounts received in Cash Equivalents, and cash dividends and other cash distributions received by any Group Member from any joint ventures or Unrestricted Subsidiaries during the period from the Business Day immediately following the Closing Date through and including the Reference Date to the extent the original Investment therein was made in reliance on the Cumulative Amount and in an amount not to exceed the amount of the original Investment;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to the extent not already included in the calculation of Consolidated Net Income of the Issuer and its Restricted Subsidiaries, the aggregate amount of all Net Cash Proceeds received by any Group Member in connection with the sale, transfer or other disposition of its ownership interest in any joint venture or Unrestricted Subsidiary during the period from the Business Day immediately following the Closing Date through and including the Reference Date to the extent the original Investment therein was made in reliance on the Cumulative Amount and in an amount not to exceed the amount of the original Investment;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aggregate amount of all Net Cash Proceeds received by any Group Member in connection with the sale, transfer or other disposition of its ownership interest in, or cash amounts of any returns, dividends, profits, distributions and similar amounts received on, any Investment (including in any joint venture or Unrestricted Subsidiary) made pursuant to </w:t>
      </w:r>
      <w:r>
        <w:rPr>
          <w:rFonts w:ascii="Times New Roman" w:hAnsi="Times New Roman"/>
          <w:sz w:val="20"/>
          <w:u w:val="single"/>
        </w:rPr>
        <w:t>Section 6.03(x)</w:t>
      </w:r>
      <w:r>
        <w:rPr>
          <w:rFonts w:ascii="Times New Roman" w:hAnsi="Times New Roman"/>
          <w:sz w:val="20"/>
        </w:rPr>
        <w:t xml:space="preserve">, during the period from the Business Day immediately following the Closing Date through and including the Reference Date to the extent the original Investment therein was made in reliance on the Cumulative Amount and in an amount not to exceed the amount of the original Investment;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in the event that the Issuer re-designates any Unrestricted Subsidiary as a Restricted Subsidiary after the Closing Date (which, for purposes hereof, shall be deemed to also include (A) the merger, consolidation, liquidation or similar amalgamation of any Unrestricted Subsidiary into the Issuer or any Restricted Subsidiary of the Issuer, so long as the Issuer or such Restricted Subsidiary is the surviving Person, and (B) the transfer of any assets of an Unrestricted Subsidiary to the Issuer or any Restricted Subsidiary of the Issuer), the fair market value (as determined in good faith by the Issuer) of the Investment in such Unrestricted Subsidiary or such transferred assets at the time of such re-designation, in each case to the extent the original Investment was made in reliance on the Cumulative Amount and in an amount not to exceed the amount of the original Investment;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 the aggregate amount of Investments made pursuant to </w:t>
      </w:r>
      <w:r>
        <w:rPr>
          <w:rFonts w:ascii="Times New Roman" w:hAnsi="Times New Roman"/>
          <w:sz w:val="20"/>
          <w:u w:val="single"/>
        </w:rPr>
        <w:t>Section 6.03(x)</w:t>
      </w:r>
      <w:r>
        <w:rPr>
          <w:rFonts w:ascii="Times New Roman" w:hAnsi="Times New Roman"/>
          <w:sz w:val="20"/>
        </w:rPr>
        <w:t xml:space="preserve"> in reliance on the Cumulative Amount, (ii) the aggregate amount of Dividends made pursuant to </w:t>
      </w:r>
      <w:r>
        <w:rPr>
          <w:rFonts w:ascii="Times New Roman" w:hAnsi="Times New Roman"/>
          <w:sz w:val="20"/>
          <w:u w:val="single"/>
        </w:rPr>
        <w:t>Section 6.06(o)</w:t>
      </w:r>
      <w:r>
        <w:rPr>
          <w:rFonts w:ascii="Times New Roman" w:hAnsi="Times New Roman"/>
          <w:sz w:val="20"/>
        </w:rPr>
        <w:t xml:space="preserve"> in reliance on the Cumulative Amount and (iii) the aggregate amount of prepayments of indebtedness pursuant to </w:t>
      </w:r>
      <w:r>
        <w:rPr>
          <w:rFonts w:ascii="Times New Roman" w:hAnsi="Times New Roman"/>
          <w:sz w:val="20"/>
          <w:u w:val="single"/>
        </w:rPr>
        <w:t>Section 6.09(a)</w:t>
      </w:r>
      <w:r>
        <w:rPr>
          <w:rFonts w:ascii="Times New Roman" w:hAnsi="Times New Roman"/>
          <w:sz w:val="20"/>
        </w:rPr>
        <w:t xml:space="preserve"> in reliance on the Cumulative Amount, in each case during the period from and including the Business Day immediately following the Closing Date through and including the Reference Date (without taking account of the intended usage of the Cumulative Amount on such Reference Date). </w:t>
      </w:r>
    </w:p>
    <w:p>
      <w:pPr>
        <w:pStyle w:val="TextBody"/>
        <w:bidi w:val="0"/>
        <w:spacing w:before="240" w:after="0"/>
        <w:jc w:val="left"/>
        <w:rPr/>
      </w:pPr>
      <w:r>
        <w:rPr/>
        <w:t>“</w:t>
      </w:r>
      <w:r>
        <w:rPr>
          <w:rFonts w:ascii="Times New Roman" w:hAnsi="Times New Roman"/>
          <w:b/>
          <w:sz w:val="20"/>
        </w:rPr>
        <w:t>Cure Amount</w:t>
      </w:r>
      <w:r>
        <w:rPr>
          <w:rFonts w:ascii="Times New Roman" w:hAnsi="Times New Roman"/>
          <w:sz w:val="20"/>
        </w:rPr>
        <w:t xml:space="preserve">” has the meaning assigned to such term in </w:t>
      </w:r>
      <w:r>
        <w:rPr>
          <w:rFonts w:ascii="Times New Roman" w:hAnsi="Times New Roman"/>
          <w:sz w:val="20"/>
          <w:u w:val="single"/>
        </w:rPr>
        <w:t>Section 8.10(a)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Cure Expiration Date</w:t>
      </w:r>
      <w:r>
        <w:rPr>
          <w:rFonts w:ascii="Times New Roman" w:hAnsi="Times New Roman"/>
          <w:sz w:val="20"/>
        </w:rPr>
        <w:t xml:space="preserve">” has the meaning assigned to such term in </w:t>
      </w:r>
      <w:r>
        <w:rPr>
          <w:rFonts w:ascii="Times New Roman" w:hAnsi="Times New Roman"/>
          <w:sz w:val="20"/>
          <w:u w:val="single"/>
        </w:rPr>
        <w:t>Section 8.10(a)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Cure Quarter</w:t>
      </w:r>
      <w:r>
        <w:rPr>
          <w:rFonts w:ascii="Times New Roman" w:hAnsi="Times New Roman"/>
          <w:sz w:val="20"/>
        </w:rPr>
        <w:t xml:space="preserve">” has the meaning assigned to such term in </w:t>
      </w:r>
      <w:r>
        <w:rPr>
          <w:rFonts w:ascii="Times New Roman" w:hAnsi="Times New Roman"/>
          <w:sz w:val="20"/>
          <w:u w:val="single"/>
        </w:rPr>
        <w:t>Section 8.10(a)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Custodian</w:t>
      </w:r>
      <w:r>
        <w:rPr>
          <w:rFonts w:ascii="Times New Roman" w:hAnsi="Times New Roman"/>
          <w:sz w:val="20"/>
        </w:rPr>
        <w:t xml:space="preserve">” means the Person appointed as custodian for the Depositary with respect to the Global Notes, or any successor entity thereto. </w:t>
      </w:r>
    </w:p>
    <w:p>
      <w:pPr>
        <w:pStyle w:val="TextBody"/>
        <w:bidi w:val="0"/>
        <w:spacing w:before="240" w:after="0"/>
        <w:jc w:val="left"/>
        <w:rPr/>
      </w:pPr>
      <w:r>
        <w:rPr/>
        <w:t>“</w:t>
      </w:r>
      <w:r>
        <w:rPr>
          <w:rFonts w:ascii="Times New Roman" w:hAnsi="Times New Roman"/>
          <w:b/>
          <w:sz w:val="20"/>
        </w:rPr>
        <w:t>Debt Issuance</w:t>
      </w:r>
      <w:r>
        <w:rPr>
          <w:rFonts w:ascii="Times New Roman" w:hAnsi="Times New Roman"/>
          <w:sz w:val="20"/>
        </w:rPr>
        <w:t xml:space="preserve">” means the incurrence by the Issuer or any of its Restricted Subsidiaries of any Indebtedness after the Closing Date (other than Indebtedness permitted by </w:t>
      </w:r>
      <w:r>
        <w:rPr>
          <w:rFonts w:ascii="Times New Roman" w:hAnsi="Times New Roman"/>
          <w:sz w:val="20"/>
          <w:u w:val="single"/>
        </w:rPr>
        <w:t>Section 6.01</w:t>
      </w:r>
      <w:r>
        <w:rPr>
          <w:rFonts w:ascii="Times New Roman" w:hAnsi="Times New Roman"/>
          <w:sz w:val="20"/>
        </w:rPr>
        <w:t xml:space="preserve"> to the extent not Notes Refinancing Indebtedness). </w:t>
      </w:r>
    </w:p>
    <w:p>
      <w:pPr>
        <w:pStyle w:val="TextBody"/>
        <w:bidi w:val="0"/>
        <w:spacing w:before="240" w:after="0"/>
        <w:jc w:val="left"/>
        <w:rPr/>
      </w:pPr>
      <w:r>
        <w:rPr/>
        <w:t>“</w:t>
      </w:r>
      <w:r>
        <w:rPr>
          <w:rFonts w:ascii="Times New Roman" w:hAnsi="Times New Roman"/>
          <w:b/>
          <w:sz w:val="20"/>
        </w:rPr>
        <w:t>Debtor Relief Law</w:t>
      </w:r>
      <w:r>
        <w:rPr>
          <w:rFonts w:ascii="Times New Roman" w:hAnsi="Times New Roman"/>
          <w:sz w:val="20"/>
        </w:rPr>
        <w:t xml:space="preserve">”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any other matters which are set out as qualifications or reservations as to matters of law of general application in any legal opinion provided in connection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Default</w:t>
      </w:r>
      <w:r>
        <w:rPr>
          <w:rFonts w:ascii="Times New Roman" w:hAnsi="Times New Roman"/>
          <w:sz w:val="20"/>
        </w:rPr>
        <w:t xml:space="preserve">” means any event, occurrence or condition which is, or upon notice, lapse of time or both would constitute, an Event of Default. </w:t>
      </w:r>
    </w:p>
    <w:p>
      <w:pPr>
        <w:pStyle w:val="TextBody"/>
        <w:bidi w:val="0"/>
        <w:spacing w:before="240" w:after="0"/>
        <w:jc w:val="left"/>
        <w:rPr/>
      </w:pPr>
      <w:r>
        <w:rPr/>
        <w:t>“</w:t>
      </w:r>
      <w:r>
        <w:rPr>
          <w:rFonts w:ascii="Times New Roman" w:hAnsi="Times New Roman"/>
          <w:b/>
          <w:sz w:val="20"/>
        </w:rPr>
        <w:t>Definitive Note</w:t>
      </w:r>
      <w:r>
        <w:rPr>
          <w:rFonts w:ascii="Times New Roman" w:hAnsi="Times New Roman"/>
          <w:sz w:val="20"/>
        </w:rPr>
        <w:t xml:space="preserve">” means a certificated Initial Note, PIK Note or Additional Note (bearing the Restricted Notes Legend (as defined in </w:t>
      </w:r>
      <w:r>
        <w:rPr>
          <w:rFonts w:ascii="Times New Roman" w:hAnsi="Times New Roman"/>
          <w:sz w:val="20"/>
          <w:u w:val="single"/>
        </w:rPr>
        <w:t>Appendix A</w:t>
      </w:r>
      <w:r>
        <w:rPr>
          <w:rFonts w:ascii="Times New Roman" w:hAnsi="Times New Roman"/>
          <w:sz w:val="20"/>
        </w:rPr>
        <w:t xml:space="preserve">) if the transfer of such Note is restricted by applicable law) that does not include the Global Notes Legend (as defined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 Trustee</w:t>
      </w:r>
      <w:r>
        <w:rPr>
          <w:rFonts w:ascii="Times New Roman" w:hAnsi="Times New Roman"/>
          <w:sz w:val="20"/>
        </w:rPr>
        <w:t xml:space="preserve">” has the meaning assigned to such term in </w:t>
      </w:r>
      <w:r>
        <w:rPr>
          <w:rFonts w:ascii="Times New Roman" w:hAnsi="Times New Roman"/>
          <w:sz w:val="20"/>
          <w:u w:val="single"/>
        </w:rPr>
        <w:t>Section 11.05(a)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xml:space="preserve">” means with respect to the Notes issuable or issued in whole or in part in global form, the Person specified in </w:t>
      </w:r>
      <w:r>
        <w:rPr>
          <w:rFonts w:ascii="Times New Roman" w:hAnsi="Times New Roman"/>
          <w:sz w:val="20"/>
          <w:u w:val="single"/>
        </w:rPr>
        <w:t xml:space="preserve">Section 2.03(b) </w:t>
      </w:r>
      <w:r>
        <w:rPr>
          <w:rFonts w:ascii="Times New Roman" w:hAnsi="Times New Roman"/>
          <w:sz w:val="20"/>
        </w:rPr>
        <w:t xml:space="preserve">hereof as the Depositary with respect to the Global Notes, and any and all successors thereto appointed as depositary hereunder and having become such pursuant to the applicable provision of this Indenture. </w:t>
      </w:r>
    </w:p>
    <w:p>
      <w:pPr>
        <w:pStyle w:val="TextBody"/>
        <w:bidi w:val="0"/>
        <w:spacing w:before="240" w:after="0"/>
        <w:jc w:val="left"/>
        <w:rPr/>
      </w:pPr>
      <w:r>
        <w:rPr/>
        <w:t>“</w:t>
      </w:r>
      <w:r>
        <w:rPr>
          <w:rFonts w:ascii="Times New Roman" w:hAnsi="Times New Roman"/>
          <w:b/>
          <w:sz w:val="20"/>
        </w:rPr>
        <w:t>Designated Noncash Consideration</w:t>
      </w:r>
      <w:r>
        <w:rPr>
          <w:rFonts w:ascii="Times New Roman" w:hAnsi="Times New Roman"/>
          <w:sz w:val="20"/>
        </w:rPr>
        <w:t xml:space="preserve">” means, as of any date of determination, the fair market value at the time received (as determined in good faith by the Issuer) of any non-cash consideration received by the Issuer or any of its Restricted Subsidiaries in connection with an Asset Sale that is designated in writing as Designated Noncash Consideration, </w:t>
      </w:r>
      <w:r>
        <w:rPr>
          <w:rFonts w:ascii="Times New Roman" w:hAnsi="Times New Roman"/>
          <w:sz w:val="20"/>
          <w:u w:val="single"/>
        </w:rPr>
        <w:t>less</w:t>
      </w:r>
      <w:r>
        <w:rPr>
          <w:rFonts w:ascii="Times New Roman" w:hAnsi="Times New Roman"/>
          <w:sz w:val="20"/>
        </w:rPr>
        <w:t xml:space="preserve">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DIP Financing</w:t>
      </w:r>
      <w:r>
        <w:rPr>
          <w:rFonts w:ascii="Times New Roman" w:hAnsi="Times New Roman"/>
          <w:sz w:val="20"/>
        </w:rPr>
        <w:t xml:space="preserve">” has the meaning assigned to such term in </w:t>
      </w:r>
      <w:r>
        <w:rPr>
          <w:rFonts w:ascii="Times New Roman" w:hAnsi="Times New Roman"/>
          <w:sz w:val="20"/>
          <w:u w:val="single"/>
        </w:rPr>
        <w:t>Section 5.17(a)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DIP Right of First Offer</w:t>
      </w:r>
      <w:r>
        <w:rPr>
          <w:rFonts w:ascii="Times New Roman" w:hAnsi="Times New Roman"/>
          <w:sz w:val="20"/>
        </w:rPr>
        <w:t xml:space="preserve">” has the meaning assigned to such term in </w:t>
      </w:r>
      <w:r>
        <w:rPr>
          <w:rFonts w:ascii="Times New Roman" w:hAnsi="Times New Roman"/>
          <w:sz w:val="20"/>
          <w:u w:val="single"/>
        </w:rPr>
        <w:t>Section 5.17(a)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Discounted Value</w:t>
      </w:r>
      <w:r>
        <w:rPr>
          <w:rFonts w:ascii="Times New Roman" w:hAnsi="Times New Roman"/>
          <w:sz w:val="20"/>
        </w:rPr>
        <w:t xml:space="preserve">” means, with respect to the Called Principal of any of the Notes,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 </w:t>
      </w:r>
    </w:p>
    <w:p>
      <w:pPr>
        <w:pStyle w:val="TextBody"/>
        <w:bidi w:val="0"/>
        <w:spacing w:before="240" w:after="0"/>
        <w:jc w:val="left"/>
        <w:rPr/>
      </w:pPr>
      <w:r>
        <w:rPr/>
        <w:t>“</w:t>
      </w:r>
      <w:r>
        <w:rPr>
          <w:rFonts w:ascii="Times New Roman" w:hAnsi="Times New Roman"/>
          <w:b/>
          <w:sz w:val="20"/>
        </w:rPr>
        <w:t>Disposition Date</w:t>
      </w:r>
      <w:r>
        <w:rPr>
          <w:rFonts w:ascii="Times New Roman" w:hAnsi="Times New Roman"/>
          <w:sz w:val="20"/>
        </w:rPr>
        <w:t xml:space="preserve">” means the first date occurring after the Closing Date on which any Specified Holder ceases to “beneficially own” at least $30,000,000 of the aggregate principal amount of the then outstanding Notes. The Disposition Date shall not be deemed to have occurred unless the Issuer, the Trustee and the Collateral Agent have received written notice from a Specified Holder that the Disposition Date has occurred (it being understood that the Issuer, the Trustee and the Collateral Agent will be entitled to rely on any such written notice from a Specified Holder (or the absence of any such written notice from a Specified Holder) for purposes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Disqualified Capital Stock</w:t>
      </w:r>
      <w:r>
        <w:rPr>
          <w:rFonts w:ascii="Times New Roman" w:hAnsi="Times New Roman"/>
          <w:sz w:val="20"/>
        </w:rPr>
        <w:t xml:space="preserve">” means any Equity Interest which, by its terms (or by the terms of any security or any other Equity Interests into which it is convertible or for which it is exchangeable) or upon the happening of any event or condition, would (a) mature or be mandatorily redeemable (other than solely for Qualified Capital Stock) pursuant to a sinking fund obligation or otherwise (except as a result of a customarily defined change of control or asset sale and only so long as any rights of the holders thereof after such change of control or asset sale shall be subject to the prior repayment, redemption or repurchase in full of the Obligations (other than contingent indemnification obligations and unasserted expense reimbursement obligations)), (b) be redeemable at the option of the holder thereof (other than solely for Qualified Capital Stock), in whole or in part, (c) provide for scheduled payments of dividends in cash or (d) be or become convertible into or exchangeable for Indebtedness or any other Disqualified Capital Stock, in whole or in part, in each case on or prior to the date that is ninety-one (91) days after the Maturity Date at the time of issuance. </w:t>
      </w:r>
    </w:p>
    <w:p>
      <w:pPr>
        <w:pStyle w:val="TextBody"/>
        <w:bidi w:val="0"/>
        <w:spacing w:before="240" w:after="0"/>
        <w:jc w:val="left"/>
        <w:rPr/>
      </w:pPr>
      <w:r>
        <w:rPr/>
        <w:t>“</w:t>
      </w:r>
      <w:r>
        <w:rPr>
          <w:rFonts w:ascii="Times New Roman" w:hAnsi="Times New Roman"/>
          <w:b/>
          <w:sz w:val="20"/>
        </w:rPr>
        <w:t>Dividend</w:t>
      </w:r>
      <w:r>
        <w:rPr>
          <w:rFonts w:ascii="Times New Roman" w:hAnsi="Times New Roman"/>
          <w:sz w:val="20"/>
        </w:rPr>
        <w:t xml:space="preserve">” means, with respect to any person, that such person has declared or paid a dividend or returned any equity capital to the holders of its Equity Interests or authorized or made any other distribution, payment or delivery of property (other than Qualified Capital Stock of such person) or cash to the holders of its Equity Interests as such, or redeemed, retired, purchased or otherwise acquired, directly or indirectly, for consideration any of its Equity Interests outstanding (or any options or warrants issued by such person with respect to its Equity Interests), or set aside or otherwise reserved, directly or indirectly, any funds for any of the foregoing purposes.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lawful money of the United States. </w:t>
      </w:r>
    </w:p>
    <w:p>
      <w:pPr>
        <w:pStyle w:val="TextBody"/>
        <w:bidi w:val="0"/>
        <w:spacing w:before="240" w:after="0"/>
        <w:jc w:val="left"/>
        <w:rPr/>
      </w:pPr>
      <w:r>
        <w:rPr/>
        <w:t>“</w:t>
      </w:r>
      <w:r>
        <w:rPr>
          <w:rFonts w:ascii="Times New Roman" w:hAnsi="Times New Roman"/>
          <w:b/>
          <w:sz w:val="20"/>
        </w:rPr>
        <w:t>Domestic Subsidiary</w:t>
      </w:r>
      <w:r>
        <w:rPr>
          <w:rFonts w:ascii="Times New Roman" w:hAnsi="Times New Roman"/>
          <w:sz w:val="20"/>
        </w:rPr>
        <w:t xml:space="preserve">” means any Subsidiary that is organized under the laws of the United States, any state thereof or the District of Columbia. </w:t>
      </w:r>
    </w:p>
    <w:p>
      <w:pPr>
        <w:pStyle w:val="TextBody"/>
        <w:bidi w:val="0"/>
        <w:spacing w:before="240" w:after="0"/>
        <w:jc w:val="left"/>
        <w:rPr/>
      </w:pPr>
      <w:r>
        <w:rPr/>
        <w:t>“</w:t>
      </w:r>
      <w:r>
        <w:rPr>
          <w:rFonts w:ascii="Times New Roman" w:hAnsi="Times New Roman"/>
          <w:b/>
          <w:sz w:val="20"/>
        </w:rPr>
        <w:t>DTC</w:t>
      </w:r>
      <w:r>
        <w:rPr>
          <w:rFonts w:ascii="Times New Roman" w:hAnsi="Times New Roman"/>
          <w:sz w:val="20"/>
        </w:rPr>
        <w:t xml:space="preserve">” means The Depository Trust Company and any successor. </w:t>
      </w:r>
    </w:p>
    <w:p>
      <w:pPr>
        <w:pStyle w:val="TextBody"/>
        <w:bidi w:val="0"/>
        <w:spacing w:before="240" w:after="0"/>
        <w:jc w:val="left"/>
        <w:rPr/>
      </w:pPr>
      <w:r>
        <w:rPr/>
        <w:t>“</w:t>
      </w:r>
      <w:r>
        <w:rPr>
          <w:rFonts w:ascii="Times New Roman" w:hAnsi="Times New Roman"/>
          <w:b/>
          <w:sz w:val="20"/>
        </w:rPr>
        <w:t>Earn-Outs</w:t>
      </w:r>
      <w:r>
        <w:rPr>
          <w:rFonts w:ascii="Times New Roman" w:hAnsi="Times New Roman"/>
          <w:sz w:val="20"/>
        </w:rPr>
        <w:t xml:space="preserve">” means, with respect to a Permitted Acquisition, or any other acquisition of any assets or Property by any Group Member, that portion of the purchase consideration therefor and that portion of all other payments and liabilities (whether payable in cash or by exchange of Equity Interests or of any Property or otherwise), directly or indirectly, payable by any Group Member in exchange for, or as part of, or in connection with, such Permitted Acquisition, or such other acquisition, as the case may be, that is deferred for payment to a future time after the consummation of such Permitted Acquisition or such other acquisition, as the case may be,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w:t>
      </w:r>
    </w:p>
    <w:p>
      <w:pPr>
        <w:pStyle w:val="TextBody"/>
        <w:bidi w:val="0"/>
        <w:spacing w:before="240" w:after="0"/>
        <w:jc w:val="left"/>
        <w:rPr/>
      </w:pPr>
      <w:r>
        <w:rPr/>
        <w:t>“</w:t>
      </w:r>
      <w:r>
        <w:rPr>
          <w:rFonts w:ascii="Times New Roman" w:hAnsi="Times New Roman"/>
          <w:b/>
          <w:sz w:val="20"/>
        </w:rPr>
        <w:t>ECF Payment Amount</w:t>
      </w:r>
      <w:r>
        <w:rPr>
          <w:rFonts w:ascii="Times New Roman" w:hAnsi="Times New Roman"/>
          <w:sz w:val="20"/>
        </w:rPr>
        <w:t xml:space="preserve">” has the meaning assigned to such term in </w:t>
      </w:r>
      <w:r>
        <w:rPr>
          <w:rFonts w:ascii="Times New Roman" w:hAnsi="Times New Roman"/>
          <w:sz w:val="20"/>
          <w:u w:val="single"/>
        </w:rPr>
        <w:t>Section 3.08(d)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ECF Payment Date</w:t>
      </w:r>
      <w:r>
        <w:rPr>
          <w:rFonts w:ascii="Times New Roman" w:hAnsi="Times New Roman"/>
          <w:sz w:val="20"/>
        </w:rPr>
        <w:t xml:space="preserve">” has the meaning assigned to such term in </w:t>
      </w:r>
      <w:r>
        <w:rPr>
          <w:rFonts w:ascii="Times New Roman" w:hAnsi="Times New Roman"/>
          <w:sz w:val="20"/>
          <w:u w:val="single"/>
        </w:rPr>
        <w:t>Section 3.08(d)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Electronic Signature</w:t>
      </w:r>
      <w:r>
        <w:rPr>
          <w:rFonts w:ascii="Times New Roman" w:hAnsi="Times New Roman"/>
          <w:sz w:val="20"/>
        </w:rPr>
        <w:t xml:space="preserve">” means the process of attaching to or logically associating with an Approved Electronic Communication an electronic symbol, encryption, digital signature or process (including the name or an abbreviation of the name of the party transmitting the Approved Electronic Communication) with the intent to sign, authenticate or accept such Approved Electronic Communication. </w:t>
      </w:r>
    </w:p>
    <w:p>
      <w:pPr>
        <w:pStyle w:val="TextBody"/>
        <w:bidi w:val="0"/>
        <w:spacing w:before="240" w:after="0"/>
        <w:jc w:val="left"/>
        <w:rPr/>
      </w:pPr>
      <w:r>
        <w:rPr/>
        <w:t>“</w:t>
      </w:r>
      <w:r>
        <w:rPr>
          <w:rFonts w:ascii="Times New Roman" w:hAnsi="Times New Roman"/>
          <w:b/>
          <w:sz w:val="20"/>
        </w:rPr>
        <w:t>Eligible Equity Issuance</w:t>
      </w:r>
      <w:r>
        <w:rPr>
          <w:rFonts w:ascii="Times New Roman" w:hAnsi="Times New Roman"/>
          <w:sz w:val="20"/>
        </w:rPr>
        <w:t xml:space="preserve">” means an issuance and sale of Qualified Capital Stock of Issuer following the Closing Date (other than to the extent the proceeds thereof are applied or are to be applied as a Cure Amount) to the equity holders of Issuer. </w:t>
      </w:r>
    </w:p>
    <w:p>
      <w:pPr>
        <w:pStyle w:val="TextBody"/>
        <w:bidi w:val="0"/>
        <w:spacing w:before="240" w:after="0"/>
        <w:jc w:val="left"/>
        <w:rPr/>
      </w:pPr>
      <w:r>
        <w:rPr/>
        <w:t>“</w:t>
      </w:r>
      <w:r>
        <w:rPr>
          <w:rFonts w:ascii="Times New Roman" w:hAnsi="Times New Roman"/>
          <w:b/>
          <w:sz w:val="20"/>
        </w:rPr>
        <w:t>Employee Benefit Plan</w:t>
      </w:r>
      <w:r>
        <w:rPr>
          <w:rFonts w:ascii="Times New Roman" w:hAnsi="Times New Roman"/>
          <w:sz w:val="20"/>
        </w:rPr>
        <w:t xml:space="preserve">” means each “employee benefit plan” (as such term is defined in Section 3(3) of ERISA) that is maintained or contributed to by a Group Member or with respect to which a Group Member has any liability (including on account of an ERISA Affiliate). </w:t>
      </w:r>
    </w:p>
    <w:p>
      <w:pPr>
        <w:pStyle w:val="TextBody"/>
        <w:bidi w:val="0"/>
        <w:spacing w:before="240" w:after="0"/>
        <w:jc w:val="left"/>
        <w:rPr/>
      </w:pPr>
      <w:r>
        <w:rPr/>
        <w:t>“</w:t>
      </w:r>
      <w:r>
        <w:rPr>
          <w:rFonts w:ascii="Times New Roman" w:hAnsi="Times New Roman"/>
          <w:b/>
          <w:sz w:val="20"/>
        </w:rPr>
        <w:t>Environment</w:t>
      </w:r>
      <w:r>
        <w:rPr>
          <w:rFonts w:ascii="Times New Roman" w:hAnsi="Times New Roman"/>
          <w:sz w:val="20"/>
        </w:rPr>
        <w:t xml:space="preserve">” means ambient air, indoor air, drinking water supplies, sediment, natural resources (including flora and fauna), surface water and groundwater (including potable water, navigable water and wetlands) and the land surface and subsurface.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means all applicable Requirements of Law relating to pollution or protection of the Environment, or to any Hazardous Material. </w:t>
      </w:r>
    </w:p>
    <w:p>
      <w:pPr>
        <w:pStyle w:val="TextBody"/>
        <w:bidi w:val="0"/>
        <w:spacing w:before="240" w:after="0"/>
        <w:jc w:val="left"/>
        <w:rPr/>
      </w:pPr>
      <w:r>
        <w:rPr/>
        <w:t>“</w:t>
      </w:r>
      <w:r>
        <w:rPr>
          <w:rFonts w:ascii="Times New Roman" w:hAnsi="Times New Roman"/>
          <w:b/>
          <w:sz w:val="20"/>
        </w:rPr>
        <w:t>Environmental Permit</w:t>
      </w:r>
      <w:r>
        <w:rPr>
          <w:rFonts w:ascii="Times New Roman" w:hAnsi="Times New Roman"/>
          <w:sz w:val="20"/>
        </w:rPr>
        <w:t xml:space="preserve">” means any permit, license, approval, registration, consent or other authorization required by or from a Governmental Authority under Environmental Law. </w:t>
      </w:r>
    </w:p>
    <w:p>
      <w:pPr>
        <w:pStyle w:val="TextBody"/>
        <w:bidi w:val="0"/>
        <w:spacing w:before="240" w:after="0"/>
        <w:jc w:val="left"/>
        <w:rPr/>
      </w:pPr>
      <w:r>
        <w:rPr/>
        <w:t>“</w:t>
      </w:r>
      <w:r>
        <w:rPr>
          <w:rFonts w:ascii="Times New Roman" w:hAnsi="Times New Roman"/>
          <w:b/>
          <w:sz w:val="20"/>
        </w:rPr>
        <w:t>Equity Cure Contribution</w:t>
      </w:r>
      <w:r>
        <w:rPr>
          <w:rFonts w:ascii="Times New Roman" w:hAnsi="Times New Roman"/>
          <w:sz w:val="20"/>
        </w:rPr>
        <w:t xml:space="preserve">” has the meaning assigned to such term in </w:t>
      </w:r>
      <w:r>
        <w:rPr>
          <w:rFonts w:ascii="Times New Roman" w:hAnsi="Times New Roman"/>
          <w:sz w:val="20"/>
          <w:u w:val="single"/>
        </w:rPr>
        <w:t>Section 8.10(a)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Equity Funded Portion</w:t>
      </w:r>
      <w:r>
        <w:rPr>
          <w:rFonts w:ascii="Times New Roman" w:hAnsi="Times New Roman"/>
          <w:sz w:val="20"/>
        </w:rPr>
        <w:t xml:space="preserve">” shall mean an amount equal to (a) the working capital or other purchase price adjustment with respect to any acquisition or other Investment </w:t>
      </w:r>
      <w:r>
        <w:rPr>
          <w:rFonts w:ascii="Times New Roman" w:hAnsi="Times New Roman"/>
          <w:i/>
          <w:sz w:val="20"/>
        </w:rPr>
        <w:t>multiplied by</w:t>
      </w:r>
      <w:r>
        <w:rPr>
          <w:rFonts w:ascii="Times New Roman" w:hAnsi="Times New Roman"/>
          <w:sz w:val="20"/>
        </w:rPr>
        <w:t xml:space="preserve"> (b) the percentage of the consideration for such acquisition or other Investment that is financed solely with the proceeds of equity issuances by and equity contributions to the Issuer, but solely to the extent such equity issuance or equity contribution, as applicable, does not constitute a Cure Amount or otherwise increases Indebtedness, Investment, Dividend or Restricted Debt Payment capacity hereunder, including, without limitation, pursuant to an increase in the Cumulative Amount. </w:t>
      </w:r>
    </w:p>
    <w:p>
      <w:pPr>
        <w:pStyle w:val="TextBody"/>
        <w:bidi w:val="0"/>
        <w:spacing w:before="240" w:after="0"/>
        <w:jc w:val="left"/>
        <w:rPr/>
      </w:pPr>
      <w:r>
        <w:rPr/>
        <w:t>“</w:t>
      </w:r>
      <w:r>
        <w:rPr>
          <w:rFonts w:ascii="Times New Roman" w:hAnsi="Times New Roman"/>
          <w:b/>
          <w:sz w:val="20"/>
        </w:rPr>
        <w:t>Equity Interest</w:t>
      </w:r>
      <w:r>
        <w:rPr>
          <w:rFonts w:ascii="Times New Roman" w:hAnsi="Times New Roman"/>
          <w:sz w:val="20"/>
        </w:rPr>
        <w:t xml:space="preserve">” means, with respect to any person, any and all shares, interests, participations or other equivalents, including membership interests (however designated, whether voting or nonvoting), of equity of such person, including warrants, options and other rights to purchase and including, if such person is a limited liability company, membership interests or if such person is a partnership, partnership interests (whether general or limited) and any other interest or participation that confers on a person the right to receive a share of the profits and losses of, or distributions of property of, such partnership, whether outstanding on the date hereof or issued after the Closing Date; </w:t>
      </w:r>
      <w:r>
        <w:rPr>
          <w:rFonts w:ascii="Times New Roman" w:hAnsi="Times New Roman"/>
          <w:i/>
          <w:sz w:val="20"/>
        </w:rPr>
        <w:t>provided</w:t>
      </w:r>
      <w:r>
        <w:rPr>
          <w:rFonts w:ascii="Times New Roman" w:hAnsi="Times New Roman"/>
          <w:sz w:val="20"/>
        </w:rPr>
        <w:t xml:space="preserve">, that, “Equity Interest” shall not include at any time debt securities convertible or exchangeable into such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the same may be amended from time to time.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with respect to any person, any trade or business (whether or not incorporated) that, together with such person, is treated as a single employer under Section 414(b) or (c) of the Code or, solely for purposes of Section 412 of the Code, Section 414(m) or (o) of the Code. </w:t>
      </w:r>
    </w:p>
    <w:p>
      <w:pPr>
        <w:pStyle w:val="TextBody"/>
        <w:bidi w:val="0"/>
        <w:spacing w:before="240" w:after="0"/>
        <w:jc w:val="left"/>
        <w:rPr/>
      </w:pPr>
      <w:r>
        <w:rPr/>
        <w:t>“</w:t>
      </w:r>
      <w:r>
        <w:rPr>
          <w:rFonts w:ascii="Times New Roman" w:hAnsi="Times New Roman"/>
          <w:b/>
          <w:sz w:val="20"/>
        </w:rPr>
        <w:t>ERISA Event</w:t>
      </w:r>
      <w:r>
        <w:rPr>
          <w:rFonts w:ascii="Times New Roman" w:hAnsi="Times New Roman"/>
          <w:sz w:val="20"/>
        </w:rPr>
        <w:t xml:space="preserve">” means (a) any “reportable event,” as defined in Section 4043(c) of ERISA or the regulations issued thereunder, with respect to a Plan (other than an event for which the thirty (30)-day notice period is waived by regulation); (b) with respect to a Plan, the failure to satisfy the minimum funding standard of Section 412 or 430 of the Code and Section 302 or 303 of ERISA, whether or not waived; (c) the failure to make by its due date a required installment under Section 430(j) of the Code with respect to any Plan or the failure to make any required contribution to a Multiemployer Plan; (d) the determination that any Plan is, or is expected to be, in “at risk” status (as defined in Section 430 of the Code or Section 303 of ERISA); (e) the incurrence by any Group Member or any of its ERISA Affiliates of any liability under Title IV of ERISA with respect to the termination of any Plan; (f) the receipt by any Group Member or any of its ERISA Affiliates from the PBGC or a plan administrator of any notice relating to the intention to terminate any Plan or Plans or Multiemployer Plan or Multiemployer Plans or to appoint a trustee to administer any Plan or Multiemployer Plan, or the occurrence of any event or condition which would reasonably be expected to constitute grounds under ERISA for the termination of, or the appointment of a trustee to administer, any Plan or Multiemployer Plan; (g) the incurrence by any Group Member or its ERISA Affiliates of liability resulting from the complete or partial withdrawal from any Multiemployer Plan; (h) the receipt by any Group Member or its ERISA Affiliates of any notice, concerning a determination that a Multiemployer Plan is, or is reasonably expected to be, insolvent (within the meaning of Section 4245 of ERISA) or in “critical” or “endangered” status, under Section 432 of the Code or Section 305 of ERISA; (i) the withdrawal of any Group Member or its ERISA Affiliates from a Plan subject to Section 4063 of ERISA during a plan year in which such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Group Member.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has the meaning assigned to such term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Excess Cash Flow</w:t>
      </w:r>
      <w:r>
        <w:rPr>
          <w:rFonts w:ascii="Times New Roman" w:hAnsi="Times New Roman"/>
          <w:sz w:val="20"/>
        </w:rPr>
        <w:t xml:space="preserve">” means, with respect to the Issuer and its Restricted Subsidiaries, as of any date of determination, for the most recently ended fiscal year for which financial statements are required to be delivered pursuant to </w:t>
      </w:r>
      <w:r>
        <w:rPr>
          <w:rFonts w:ascii="Times New Roman" w:hAnsi="Times New Roman"/>
          <w:sz w:val="20"/>
          <w:u w:val="single"/>
        </w:rPr>
        <w:t>Section 5.03(a)</w:t>
      </w:r>
      <w:r>
        <w:rPr>
          <w:rFonts w:ascii="Times New Roman" w:hAnsi="Times New Roman"/>
          <w:sz w:val="20"/>
        </w:rPr>
        <w:t xml:space="preserve">, the sum of the amounts for such period of,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Consolidated Operating Cash Flow; </w:t>
      </w:r>
      <w:r>
        <w:rPr>
          <w:rFonts w:ascii="Times New Roman" w:hAnsi="Times New Roman"/>
          <w:i/>
          <w:sz w:val="20"/>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without duplication and excluding any amounts that already increased Consolidated Operating Cash Flow pursuant to the definition thereof, cash proceeds received from the exercise of stock options; </w:t>
      </w:r>
      <w:r>
        <w:rPr>
          <w:rFonts w:ascii="Times New Roman" w:hAnsi="Times New Roman"/>
          <w:i/>
          <w:sz w:val="20"/>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 amount equal to 66.7% of the Net Cash Proceeds (after commissions to agents and other associated ATM expenses) received by the Issuer and its Restricted Subsidiaries under any “at-the-market” equity distribution program during such Excess Cash Flow Period; </w:t>
      </w:r>
      <w:r>
        <w:rPr>
          <w:rFonts w:ascii="Times New Roman" w:hAnsi="Times New Roman"/>
          <w:i/>
          <w:sz w:val="20"/>
        </w:rPr>
        <w:t>minus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without duplication, the sum of the amounts of: </w:t>
      </w:r>
    </w:p>
    <w:p>
      <w:pPr>
        <w:pStyle w:val="TextBody"/>
        <w:bidi w:val="0"/>
        <w:spacing w:before="120" w:after="0"/>
        <w:jc w:val="left"/>
        <w:rPr>
          <w:rFonts w:ascii="Times New Roman" w:hAnsi="Times New Roman"/>
          <w:sz w:val="20"/>
        </w:rPr>
      </w:pPr>
      <w:r>
        <w:rPr>
          <w:rFonts w:ascii="Times New Roman" w:hAnsi="Times New Roman"/>
          <w:sz w:val="20"/>
        </w:rPr>
        <w:t xml:space="preserve">(i) the amount of any employment taxes paid in cash in such Excess Cash Flow Period in connection with any long-term employee equity incentive compensation program or other stock-based employee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(ii) repurchases of Common Stock in connection with any stock-based employee compensation in such Excess Cash Flow Period, </w:t>
      </w:r>
    </w:p>
    <w:p>
      <w:pPr>
        <w:pStyle w:val="TextBody"/>
        <w:bidi w:val="0"/>
        <w:spacing w:before="120" w:after="0"/>
        <w:jc w:val="left"/>
        <w:rPr>
          <w:rFonts w:ascii="Times New Roman" w:hAnsi="Times New Roman"/>
          <w:sz w:val="20"/>
        </w:rPr>
      </w:pPr>
      <w:r>
        <w:rPr>
          <w:rFonts w:ascii="Times New Roman" w:hAnsi="Times New Roman"/>
          <w:sz w:val="20"/>
        </w:rPr>
        <w:t xml:space="preserve">(iii) Capital Expenditures during such Excess Cash Flow Period used or useful in the business engaged in by the Issuer and its Subsidiaries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(iv) any repayments, retirements, redemptions or other repurchases of any ABL Obligations in such Excess Cash Flow Period; </w:t>
      </w:r>
      <w:r>
        <w:rPr>
          <w:rFonts w:ascii="Times New Roman" w:hAnsi="Times New Roman"/>
          <w:i/>
          <w:sz w:val="20"/>
        </w:rPr>
        <w:t xml:space="preserve">provided </w:t>
      </w:r>
      <w:r>
        <w:rPr>
          <w:rFonts w:ascii="Times New Roman" w:hAnsi="Times New Roman"/>
          <w:sz w:val="20"/>
        </w:rPr>
        <w:t xml:space="preserve">that any such repayments, retirements, redemptions or other repurchases in excess of $15,000,000 in any Excess Cash Flow Period shall not be deducted from Excess Cash Flow pursuant to this </w:t>
      </w:r>
      <w:r>
        <w:rPr>
          <w:rFonts w:ascii="Times New Roman" w:hAnsi="Times New Roman"/>
          <w:sz w:val="20"/>
          <w:u w:val="single"/>
        </w:rPr>
        <w:t>clause (iv)</w:t>
      </w:r>
      <w:r>
        <w:rPr>
          <w:rFonts w:ascii="Times New Roman" w:hAnsi="Times New Roman"/>
          <w:sz w:val="20"/>
        </w:rPr>
        <w:t xml:space="preserve"> unless accompanied by a permanent reduction in the commitments under the ABL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(v) any charges in respect of Capital Lease Obligations or other lease obligations in such Excess Cash Flow Period, </w:t>
      </w:r>
    </w:p>
    <w:p>
      <w:pPr>
        <w:pStyle w:val="TextBody"/>
        <w:bidi w:val="0"/>
        <w:spacing w:before="120" w:after="0"/>
        <w:jc w:val="left"/>
        <w:rPr>
          <w:rFonts w:ascii="Times New Roman" w:hAnsi="Times New Roman"/>
          <w:sz w:val="20"/>
        </w:rPr>
      </w:pPr>
      <w:r>
        <w:rPr>
          <w:rFonts w:ascii="Times New Roman" w:hAnsi="Times New Roman"/>
          <w:sz w:val="20"/>
        </w:rPr>
        <w:t xml:space="preserve">(vi) debt issuance costs including in respect of Refinanced Debt in such Excess Cash Flow Period, </w:t>
      </w:r>
    </w:p>
    <w:p>
      <w:pPr>
        <w:pStyle w:val="TextBody"/>
        <w:bidi w:val="0"/>
        <w:spacing w:before="120" w:after="0"/>
        <w:jc w:val="left"/>
        <w:rPr>
          <w:rFonts w:ascii="Times New Roman" w:hAnsi="Times New Roman"/>
          <w:sz w:val="20"/>
        </w:rPr>
      </w:pPr>
      <w:r>
        <w:rPr>
          <w:rFonts w:ascii="Times New Roman" w:hAnsi="Times New Roman"/>
          <w:sz w:val="20"/>
        </w:rPr>
        <w:t xml:space="preserve">(vii) payments on short-term Indebtedness and payments on long-term liabilities (other than Indebtedness) in such Excess Cash Flow Period, </w:t>
      </w:r>
    </w:p>
    <w:p>
      <w:pPr>
        <w:pStyle w:val="TextBody"/>
        <w:bidi w:val="0"/>
        <w:spacing w:before="120" w:after="0"/>
        <w:jc w:val="left"/>
        <w:rPr>
          <w:rFonts w:ascii="Times New Roman" w:hAnsi="Times New Roman"/>
          <w:sz w:val="20"/>
        </w:rPr>
      </w:pPr>
      <w:r>
        <w:rPr>
          <w:rFonts w:ascii="Times New Roman" w:hAnsi="Times New Roman"/>
          <w:sz w:val="20"/>
        </w:rPr>
        <w:t xml:space="preserve">(viii) any decrease in cash as a result of impacts of foreign exchange rates (but plus any amount of an increase in cash as a result thereto) in such Excess Cash Flow Period, </w:t>
      </w:r>
    </w:p>
    <w:p>
      <w:pPr>
        <w:pStyle w:val="TextBody"/>
        <w:bidi w:val="0"/>
        <w:spacing w:before="120" w:after="0"/>
        <w:jc w:val="left"/>
        <w:rPr>
          <w:rFonts w:ascii="Times New Roman" w:hAnsi="Times New Roman"/>
          <w:sz w:val="20"/>
        </w:rPr>
      </w:pPr>
      <w:r>
        <w:rPr>
          <w:rFonts w:ascii="Times New Roman" w:hAnsi="Times New Roman"/>
          <w:sz w:val="20"/>
        </w:rPr>
        <w:t xml:space="preserve">(ix) any contingent liability payments (including Earn-Outs) and any Investments, in each case, made in cash and permitted to be made hereunder in such Excess Cash Flow Period, and </w:t>
      </w:r>
    </w:p>
    <w:p>
      <w:pPr>
        <w:pStyle w:val="TextBody"/>
        <w:bidi w:val="0"/>
        <w:spacing w:before="120" w:after="0"/>
        <w:jc w:val="left"/>
        <w:rPr>
          <w:rFonts w:ascii="Times New Roman" w:hAnsi="Times New Roman"/>
          <w:sz w:val="20"/>
        </w:rPr>
      </w:pPr>
      <w:r>
        <w:rPr>
          <w:rFonts w:ascii="Times New Roman" w:hAnsi="Times New Roman"/>
          <w:sz w:val="20"/>
        </w:rPr>
        <w:t xml:space="preserve">(x) any Taxes paid by the Issuer and its Restricted Subsidiaries in such Excess Cash Flow Period. </w:t>
      </w:r>
    </w:p>
    <w:p>
      <w:pPr>
        <w:pStyle w:val="TextBody"/>
        <w:bidi w:val="0"/>
        <w:spacing w:before="240" w:after="0"/>
        <w:jc w:val="left"/>
        <w:rPr/>
      </w:pPr>
      <w:r>
        <w:rPr/>
        <w:t>“</w:t>
      </w:r>
      <w:r>
        <w:rPr>
          <w:rFonts w:ascii="Times New Roman" w:hAnsi="Times New Roman"/>
          <w:b/>
          <w:sz w:val="20"/>
        </w:rPr>
        <w:t>Excess Cash Flow Period</w:t>
      </w:r>
      <w:r>
        <w:rPr>
          <w:rFonts w:ascii="Times New Roman" w:hAnsi="Times New Roman"/>
          <w:sz w:val="20"/>
        </w:rPr>
        <w:t xml:space="preserve">” means each fiscal year of Issuer commencing with the fiscal year ending December 31, 2026. </w:t>
      </w:r>
    </w:p>
    <w:p>
      <w:pPr>
        <w:pStyle w:val="TextBody"/>
        <w:bidi w:val="0"/>
        <w:spacing w:before="240" w:after="0"/>
        <w:jc w:val="left"/>
        <w:rPr/>
      </w:pPr>
      <w:r>
        <w:rPr/>
        <w:t>“</w:t>
      </w:r>
      <w:r>
        <w:rPr>
          <w:rFonts w:ascii="Times New Roman" w:hAnsi="Times New Roman"/>
          <w:b/>
          <w:sz w:val="20"/>
        </w:rPr>
        <w:t>Excess Net Cash Proceeds</w:t>
      </w:r>
      <w:r>
        <w:rPr>
          <w:rFonts w:ascii="Times New Roman" w:hAnsi="Times New Roman"/>
          <w:sz w:val="20"/>
        </w:rPr>
        <w:t xml:space="preserve">” has the meaning assigned to such term in </w:t>
      </w:r>
      <w:r>
        <w:rPr>
          <w:rFonts w:ascii="Times New Roman" w:hAnsi="Times New Roman"/>
          <w:sz w:val="20"/>
          <w:u w:val="single"/>
        </w:rPr>
        <w:t>Section 3.08(a)(i)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Excluded Equity Interests</w:t>
      </w:r>
      <w:r>
        <w:rPr>
          <w:rFonts w:ascii="Times New Roman" w:hAnsi="Times New Roman"/>
          <w:sz w:val="20"/>
        </w:rPr>
        <w:t xml:space="preserve">” means Equity Interests (a) in excess of sixty-five percent (65%) of the Voting Stock issued by any CFC or CFC Holding Company, in each case, owned directly by a Note Party (but, for the avoidance of doubt, not including any Equity Interests that are not Voting Stock issued by any such CFC or CFC Holding Company), (b) in any Subsidiary of a CFC, (c) in a joint venture or other non-Wholly Owned Subsidiary which cannot be pledged without the consent of third parties, or the pledge of which is prohibited by the terms of, or would create a right of termination of one or more third parties under, any applicable Organizational Documents, joint venture agreement or shareholders’ agreement (by any agreement binding on such Equity Interests at the time of acquisition thereof (or on the Restatement Effective Date, as applicable) and not entered into in contemplation thereof (or in contemplation of the Transactions, as applicable) and unless such consent has been obtained, in each case only, for so long as such prohibition or restriction remains in effect) after giving effect to the applicable anti-assignment provisions of the Uniform Commercial Code or other applicable law, (d) in Persons other than Wholly Owned Restricted Subsidiaries to the extent prohibited by the Organizational Documents of such entity or requiring third party consents (in each case only for so long as such prohibition or restriction remains in effect), (e) in any Unrestricted Subsidiary, (f) with respect to which the cost of obtaining a security interest therein exceeds the practical benefit to the Holders afforded thereby, as mutually and reasonably determined by the Issuer and the Controlling Party, and (g) with respect to which a pledge therein is prohibited or restricted by applicable law (including any requirement to obtain the consent of any Governmental Authority (unless such consent has been obtained)), in each case only for so long as such prohibition or restriction remains in effect; </w:t>
      </w:r>
      <w:r>
        <w:rPr>
          <w:rFonts w:ascii="Times New Roman" w:hAnsi="Times New Roman"/>
          <w:i/>
          <w:sz w:val="20"/>
        </w:rPr>
        <w:t>provided</w:t>
      </w:r>
      <w:r>
        <w:rPr>
          <w:rFonts w:ascii="Times New Roman" w:hAnsi="Times New Roman"/>
          <w:sz w:val="20"/>
        </w:rPr>
        <w:t xml:space="preserve">, that, in each case set forth above, such equity will immediately cease to constitute Excluded Equity Interests when the relevant property ceases to meet this definition and, with respect to any such equity, a security interest under any applicable Security Document shall attach immediately and automatically without further 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no event will any Equity Interests of the Issuer be Excluded Equity Interests. </w:t>
      </w:r>
    </w:p>
    <w:p>
      <w:pPr>
        <w:pStyle w:val="TextBody"/>
        <w:bidi w:val="0"/>
        <w:spacing w:before="240" w:after="0"/>
        <w:jc w:val="left"/>
        <w:rPr/>
      </w:pPr>
      <w:r>
        <w:rPr/>
        <w:t>“</w:t>
      </w:r>
      <w:r>
        <w:rPr>
          <w:rFonts w:ascii="Times New Roman" w:hAnsi="Times New Roman"/>
          <w:b/>
          <w:sz w:val="20"/>
        </w:rPr>
        <w:t>Excluded Property</w:t>
      </w:r>
      <w:r>
        <w:rPr>
          <w:rFonts w:ascii="Times New Roman" w:hAnsi="Times New Roman"/>
          <w:sz w:val="20"/>
        </w:rPr>
        <w:t xml:space="preserve">” has the meaning assigned to such term in the Security Agreement. </w:t>
      </w:r>
    </w:p>
    <w:p>
      <w:pPr>
        <w:pStyle w:val="TextBody"/>
        <w:bidi w:val="0"/>
        <w:spacing w:before="240" w:after="0"/>
        <w:jc w:val="left"/>
        <w:rPr/>
      </w:pPr>
      <w:r>
        <w:rPr/>
        <w:t>“</w:t>
      </w:r>
      <w:r>
        <w:rPr>
          <w:rFonts w:ascii="Times New Roman" w:hAnsi="Times New Roman"/>
          <w:b/>
          <w:sz w:val="20"/>
        </w:rPr>
        <w:t>Excluded Subsidiary</w:t>
      </w:r>
      <w:r>
        <w:rPr>
          <w:rFonts w:ascii="Times New Roman" w:hAnsi="Times New Roman"/>
          <w:sz w:val="20"/>
        </w:rPr>
        <w:t xml:space="preserve">” means (a) any Restricted Subsidiary that is not a Wholly Owned Subsidiary, (b) any CFC, (c) CFC Holding Company, (d) any Subsidiary of a CFC, (e) any Immaterial Subsidiary, (f) any Unrestricted Subsidiary, (g) any merger Subsidiary formed in connection with a Permitted Acquisition so long as such merger Subsidiary is merged out of existence pursuant to such Permitted Acquisition within sixty (60) days of its formation or such later date as permitted by the Trustee (acting at the direction of the Controlling Party, acting reasonably), (h) any Subsidiary to the extent a Guarantee or other guarantee of the Obligations is prohibited or restricted by any contractual obligation as in existence on the Restatement Effective Date or at the time such Person becomes a Subsidiary (in each case, not entered into in contemplation thereof and for so long as such prohibition or restriction remains in effect) or by applicable Requirements of Law (including any requirement to obtain Governmental Authority or third party consent, license or authorization to the extent such consent, license or authorization has not been received after use of commercially reasonable efforts to acquire the same) and (i) any Subsidiary to the extent the Controlling Party and the Issuer mutually and reasonably determine the cost, consequence and/or burden of obtaining a Guarantee outweigh the benefit thereof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w:t>
      </w:r>
      <w:r>
        <w:rPr>
          <w:rFonts w:ascii="Times New Roman" w:hAnsi="Times New Roman"/>
          <w:i/>
          <w:sz w:val="20"/>
        </w:rPr>
        <w:t>provided</w:t>
      </w:r>
      <w:r>
        <w:rPr>
          <w:rFonts w:ascii="Times New Roman" w:hAnsi="Times New Roman"/>
          <w:sz w:val="20"/>
        </w:rPr>
        <w:t xml:space="preserve">, that, the Issuer shall not be an Excluded Subsidiary;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Issuer may, subject to the prior written consent of the Trustee (acting at the direction of the Controlling Party) (</w:t>
      </w:r>
      <w:r>
        <w:rPr>
          <w:rFonts w:ascii="Times New Roman" w:hAnsi="Times New Roman"/>
          <w:i/>
          <w:sz w:val="20"/>
        </w:rPr>
        <w:t>provided</w:t>
      </w:r>
      <w:r>
        <w:rPr>
          <w:rFonts w:ascii="Times New Roman" w:hAnsi="Times New Roman"/>
          <w:sz w:val="20"/>
        </w:rPr>
        <w:t xml:space="preserve">, that, no such consent shall be required if such designated Subsidiary is a Domestic Subsidiary that qualifies as an Immaterial Subsidiary), designate any Subsidiary that otherwise qualifies as an “Excluded Subsidiary” pursuant to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(h)</w:t>
      </w:r>
      <w:r>
        <w:rPr>
          <w:rFonts w:ascii="Times New Roman" w:hAnsi="Times New Roman"/>
          <w:sz w:val="20"/>
        </w:rPr>
        <w:t xml:space="preserve"> above as not being an Excluded Subsidiary by written notice to the Trustee and, following such designation, may (so long as at such time no Default or Event of Default shall have occurred and be continuing and such Subsidiary otherwise qualifies as an Excluded Subsidiary) re-designate such Subsidiary as an Excluded Subsidiary by written notice to the Trustee, upon which re-designation such Subsidiary shall be automatically released from its Guarantee;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Restricted Subsidiary shall qualify as an Excluded Subsidiary pursuant to </w:t>
      </w:r>
      <w:r>
        <w:rPr>
          <w:rFonts w:ascii="Times New Roman" w:hAnsi="Times New Roman"/>
          <w:sz w:val="20"/>
          <w:u w:val="single"/>
        </w:rPr>
        <w:t>clause (a)</w:t>
      </w:r>
      <w:r>
        <w:rPr>
          <w:rFonts w:ascii="Times New Roman" w:hAnsi="Times New Roman"/>
          <w:sz w:val="20"/>
        </w:rPr>
        <w:t xml:space="preserve"> above unless it becomes a non-Wholly Owned Subsidiary pursuant to a transaction (x) where such Restricted Subsidiary becomes a joint venture with a non-Affiliate for bona fide business purposes (other than financing), (y) for fair market value, and (z) the purpose of which was not to evade the requirements of </w:t>
      </w:r>
      <w:r>
        <w:rPr>
          <w:rFonts w:ascii="Times New Roman" w:hAnsi="Times New Roman"/>
          <w:sz w:val="20"/>
          <w:u w:val="single"/>
        </w:rPr>
        <w:t>Section 5.12</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Restricted Subsidiary shall qualify as an Excluded Subsidiary if such Restricted Subsidiary is a borrower or guarantor under the ABL Documents (or any refinancing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Restricted Subsidiary shall qualify as an Excluded Subsidiary pursuant to </w:t>
      </w:r>
      <w:r>
        <w:rPr>
          <w:rFonts w:ascii="Times New Roman" w:hAnsi="Times New Roman"/>
          <w:sz w:val="20"/>
          <w:u w:val="single"/>
        </w:rPr>
        <w:t>clause (d)</w:t>
      </w:r>
      <w:r>
        <w:rPr>
          <w:rFonts w:ascii="Times New Roman" w:hAnsi="Times New Roman"/>
          <w:sz w:val="20"/>
        </w:rPr>
        <w:t xml:space="preserve"> above if such Subsidiary previously were (or should have been) a Note Party and became a Subsidiary of a Foreign Subsidiary pursuant to a transaction (x) not consummated for bona fide business purposes, (y) not consummated for fair market value, or (z) the purpose of which was to evade the requirements of </w:t>
      </w:r>
      <w:r>
        <w:rPr>
          <w:rFonts w:ascii="Times New Roman" w:hAnsi="Times New Roman"/>
          <w:sz w:val="20"/>
          <w:u w:val="single"/>
        </w:rPr>
        <w:t>Section 5.12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FCPA</w:t>
      </w:r>
      <w:r>
        <w:rPr>
          <w:rFonts w:ascii="Times New Roman" w:hAnsi="Times New Roman"/>
          <w:sz w:val="20"/>
        </w:rPr>
        <w:t xml:space="preserve">” means the United States Foreign Corrupt Practices Act of 1977, as amended. </w:t>
      </w:r>
    </w:p>
    <w:p>
      <w:pPr>
        <w:pStyle w:val="TextBody"/>
        <w:bidi w:val="0"/>
        <w:spacing w:before="240" w:after="0"/>
        <w:jc w:val="left"/>
        <w:rPr/>
      </w:pPr>
      <w:r>
        <w:rPr/>
        <w:t>“</w:t>
      </w:r>
      <w:r>
        <w:rPr>
          <w:rFonts w:ascii="Times New Roman" w:hAnsi="Times New Roman"/>
          <w:b/>
          <w:sz w:val="20"/>
        </w:rPr>
        <w:t>Fitch</w:t>
      </w:r>
      <w:r>
        <w:rPr>
          <w:rFonts w:ascii="Times New Roman" w:hAnsi="Times New Roman"/>
          <w:sz w:val="20"/>
        </w:rPr>
        <w:t xml:space="preserve">” means Fitch Ratings Limited. </w:t>
      </w:r>
    </w:p>
    <w:p>
      <w:pPr>
        <w:pStyle w:val="TextBody"/>
        <w:bidi w:val="0"/>
        <w:spacing w:before="240" w:after="0"/>
        <w:jc w:val="left"/>
        <w:rPr/>
      </w:pPr>
      <w:r>
        <w:rPr/>
        <w:t>“</w:t>
      </w:r>
      <w:r>
        <w:rPr>
          <w:rFonts w:ascii="Times New Roman" w:hAnsi="Times New Roman"/>
          <w:b/>
          <w:sz w:val="20"/>
        </w:rPr>
        <w:t>Federal Funds Rate</w:t>
      </w:r>
      <w:r>
        <w:rPr>
          <w:rFonts w:ascii="Times New Roman" w:hAnsi="Times New Roman"/>
          <w:sz w:val="20"/>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i/>
          <w:sz w:val="20"/>
        </w:rPr>
        <w:t>provided</w:t>
      </w:r>
      <w:r>
        <w:rPr>
          <w:rFonts w:ascii="Times New Roman" w:hAnsi="Times New Roman"/>
          <w:sz w:val="20"/>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quoted to the Calculation Agent on such day on such transactions by three (3) financial institutions of recognized standing as determined by the Calculation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Federal Funds Rate for any day is less than zero, the Federal Funds Rate for such day will be deemed to be zero. </w:t>
      </w:r>
    </w:p>
    <w:p>
      <w:pPr>
        <w:pStyle w:val="TextBody"/>
        <w:bidi w:val="0"/>
        <w:spacing w:before="240" w:after="0"/>
        <w:jc w:val="left"/>
        <w:rPr/>
      </w:pPr>
      <w:r>
        <w:rPr/>
        <w:t>“</w:t>
      </w:r>
      <w:r>
        <w:rPr>
          <w:rFonts w:ascii="Times New Roman" w:hAnsi="Times New Roman"/>
          <w:b/>
          <w:sz w:val="20"/>
        </w:rPr>
        <w:t>Federal Reserve Board</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b/>
          <w:sz w:val="20"/>
        </w:rPr>
        <w:t>Financial Covenant</w:t>
      </w:r>
      <w:r>
        <w:rPr>
          <w:rFonts w:ascii="Times New Roman" w:hAnsi="Times New Roman"/>
          <w:sz w:val="20"/>
        </w:rPr>
        <w:t xml:space="preserve">” means, individually or collectively as the context may require, the financial covenants set forth in </w:t>
      </w:r>
      <w:r>
        <w:rPr>
          <w:rFonts w:ascii="Times New Roman" w:hAnsi="Times New Roman"/>
          <w:sz w:val="20"/>
          <w:u w:val="single"/>
        </w:rPr>
        <w:t>Section 6.08(a)</w:t>
      </w:r>
      <w:r>
        <w:rPr>
          <w:rFonts w:ascii="Times New Roman" w:hAnsi="Times New Roman"/>
          <w:sz w:val="20"/>
        </w:rPr>
        <w:t xml:space="preserve"> and </w:t>
      </w:r>
      <w:r>
        <w:rPr>
          <w:rFonts w:ascii="Times New Roman" w:hAnsi="Times New Roman"/>
          <w:sz w:val="20"/>
          <w:u w:val="single"/>
        </w:rPr>
        <w:t>Section 6.08(b)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Financial Officer</w:t>
      </w:r>
      <w:r>
        <w:rPr>
          <w:rFonts w:ascii="Times New Roman" w:hAnsi="Times New Roman"/>
          <w:sz w:val="20"/>
        </w:rPr>
        <w:t xml:space="preserve">” of any person means the chief financial officer, chief executive officer, vice president of finance, treasurer, assistant treasurer, controller, or, in each case, anyone acting in such capacity or any similar capacity. </w:t>
      </w:r>
    </w:p>
    <w:p>
      <w:pPr>
        <w:pStyle w:val="TextBody"/>
        <w:bidi w:val="0"/>
        <w:spacing w:before="240" w:after="0"/>
        <w:jc w:val="left"/>
        <w:rPr/>
      </w:pPr>
      <w:r>
        <w:rPr/>
        <w:t>“</w:t>
      </w:r>
      <w:r>
        <w:rPr>
          <w:rFonts w:ascii="Times New Roman" w:hAnsi="Times New Roman"/>
          <w:b/>
          <w:sz w:val="20"/>
        </w:rPr>
        <w:t>Flood Hazard Property</w:t>
      </w:r>
      <w:r>
        <w:rPr>
          <w:rFonts w:ascii="Times New Roman" w:hAnsi="Times New Roman"/>
          <w:sz w:val="20"/>
        </w:rPr>
        <w:t xml:space="preserve">” means any Material Real Property subject to a Mortgage having a “Structure” (as defined in the Flood Insurance Laws) thereon that is located in an area designated by the Federal Emergency Management Agency as a special flood hazard area. </w:t>
      </w:r>
    </w:p>
    <w:p>
      <w:pPr>
        <w:pStyle w:val="TextBody"/>
        <w:bidi w:val="0"/>
        <w:spacing w:before="240" w:after="0"/>
        <w:jc w:val="left"/>
        <w:rPr/>
      </w:pPr>
      <w:r>
        <w:rPr/>
        <w:t>“</w:t>
      </w:r>
      <w:r>
        <w:rPr>
          <w:rFonts w:ascii="Times New Roman" w:hAnsi="Times New Roman"/>
          <w:b/>
          <w:sz w:val="20"/>
        </w:rPr>
        <w:t>Flood Insurance Laws</w:t>
      </w:r>
      <w:r>
        <w:rPr>
          <w:rFonts w:ascii="Times New Roman" w:hAnsi="Times New Roman"/>
          <w:sz w:val="20"/>
        </w:rPr>
        <w:t xml:space="preserve">” means, collectively, (a) the National Flood Insurance Act of 1968 as now or hereafter in effect or any successor or supplemental statutes, rules and regulations thereto, (b) the Flood Disaster Protection Act of 1973 as now or hereafter in effect or any successor or supplemental statutes, rules and regulations thereto, (c) the National Flood Insurance Reform Act of 1994 as now or hereafter in effect or any successor or supplemental statutes, rules and regulations thereto, (d) the Flood Insurance Reform Act of 2004 as now or hereafter in effect or any successor or supplemental statutes, rules and regulations thereto, and (e) the Biggert-Waters Flood Insurance Reform Act of 2012 as now or hereafter in effect or any successor or supplemental statutes, rules and regulations thereto. </w:t>
      </w:r>
    </w:p>
    <w:p>
      <w:pPr>
        <w:pStyle w:val="TextBody"/>
        <w:bidi w:val="0"/>
        <w:spacing w:before="240" w:after="0"/>
        <w:jc w:val="left"/>
        <w:rPr/>
      </w:pPr>
      <w:r>
        <w:rPr/>
        <w:t>“</w:t>
      </w:r>
      <w:r>
        <w:rPr>
          <w:rFonts w:ascii="Times New Roman" w:hAnsi="Times New Roman"/>
          <w:b/>
          <w:sz w:val="20"/>
        </w:rPr>
        <w:t>Floor</w:t>
      </w:r>
      <w:r>
        <w:rPr>
          <w:rFonts w:ascii="Times New Roman" w:hAnsi="Times New Roman"/>
          <w:sz w:val="20"/>
        </w:rPr>
        <w:t xml:space="preserve">” means, in the case of Term SOFR, a rate of interest equal to three percent (3.00%) and in the case of the Alternate Base Rate, a rate of interest equal to four percent (4.00%). </w:t>
      </w:r>
    </w:p>
    <w:p>
      <w:pPr>
        <w:pStyle w:val="TextBody"/>
        <w:bidi w:val="0"/>
        <w:spacing w:before="240" w:after="0"/>
        <w:jc w:val="left"/>
        <w:rPr/>
      </w:pPr>
      <w:r>
        <w:rPr/>
        <w:t>“</w:t>
      </w:r>
      <w:r>
        <w:rPr>
          <w:rFonts w:ascii="Times New Roman" w:hAnsi="Times New Roman"/>
          <w:b/>
          <w:sz w:val="20"/>
        </w:rPr>
        <w:t>Foreign Subsidiary</w:t>
      </w:r>
      <w:r>
        <w:rPr>
          <w:rFonts w:ascii="Times New Roman" w:hAnsi="Times New Roman"/>
          <w:sz w:val="20"/>
        </w:rPr>
        <w:t xml:space="preserve">” means a Subsidiary that is organized under the laws of a jurisdiction other than the United States, any state thereof or the District of Columbia.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applied on a consistent basis. </w:t>
      </w:r>
    </w:p>
    <w:p>
      <w:pPr>
        <w:pStyle w:val="TextBody"/>
        <w:bidi w:val="0"/>
        <w:spacing w:before="240" w:after="0"/>
        <w:jc w:val="left"/>
        <w:rPr/>
      </w:pPr>
      <w:r>
        <w:rPr/>
        <w:t>“</w:t>
      </w:r>
      <w:r>
        <w:rPr>
          <w:rFonts w:ascii="Times New Roman" w:hAnsi="Times New Roman"/>
          <w:b/>
          <w:sz w:val="20"/>
        </w:rPr>
        <w:t>Global Notes</w:t>
      </w:r>
      <w:r>
        <w:rPr>
          <w:rFonts w:ascii="Times New Roman" w:hAnsi="Times New Roman"/>
          <w:sz w:val="20"/>
        </w:rPr>
        <w:t xml:space="preserve">” means the Notes that are in the form of </w:t>
      </w:r>
      <w:r>
        <w:rPr>
          <w:rFonts w:ascii="Times New Roman" w:hAnsi="Times New Roman"/>
          <w:sz w:val="20"/>
          <w:u w:val="single"/>
        </w:rPr>
        <w:t>Exhibit A</w:t>
      </w:r>
      <w:r>
        <w:rPr>
          <w:rFonts w:ascii="Times New Roman" w:hAnsi="Times New Roman"/>
          <w:sz w:val="20"/>
        </w:rPr>
        <w:t xml:space="preserve"> issued in global form and registered in the name of the Depositary or its nominee.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the government of the United States or any other nation, or of any political subdivision thereof, whether state, provincial,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pPr>
      <w:r>
        <w:rPr/>
        <w:t>“</w:t>
      </w:r>
      <w:r>
        <w:rPr>
          <w:rFonts w:ascii="Times New Roman" w:hAnsi="Times New Roman"/>
          <w:b/>
          <w:sz w:val="20"/>
        </w:rPr>
        <w:t>Group Members</w:t>
      </w:r>
      <w:r>
        <w:rPr>
          <w:rFonts w:ascii="Times New Roman" w:hAnsi="Times New Roman"/>
          <w:sz w:val="20"/>
        </w:rPr>
        <w:t>” means the Issuer and its Restricted Subsidiaries; and “</w:t>
      </w:r>
      <w:r>
        <w:rPr>
          <w:rFonts w:ascii="Times New Roman" w:hAnsi="Times New Roman"/>
          <w:b/>
          <w:sz w:val="20"/>
        </w:rPr>
        <w:t>Group Member</w:t>
      </w:r>
      <w:r>
        <w:rPr>
          <w:rFonts w:ascii="Times New Roman" w:hAnsi="Times New Roman"/>
          <w:sz w:val="20"/>
        </w:rPr>
        <w:t xml:space="preserve">” means any one of them.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means a direct or indirect guarantee by any Person of any Indebtedness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Guarantees</w:t>
      </w:r>
      <w:r>
        <w:rPr>
          <w:rFonts w:ascii="Times New Roman" w:hAnsi="Times New Roman"/>
          <w:sz w:val="20"/>
        </w:rPr>
        <w:t xml:space="preserve">” means the guarantees issued pursuant to </w:t>
      </w:r>
      <w:r>
        <w:rPr>
          <w:rFonts w:ascii="Times New Roman" w:hAnsi="Times New Roman"/>
          <w:sz w:val="20"/>
          <w:u w:val="single"/>
        </w:rPr>
        <w:t>Article VII</w:t>
      </w:r>
      <w:r>
        <w:rPr>
          <w:rFonts w:ascii="Times New Roman" w:hAnsi="Times New Roman"/>
          <w:sz w:val="20"/>
        </w:rPr>
        <w:t xml:space="preserve"> by the Issuer and the Subsidiary Guarantors. </w:t>
      </w:r>
    </w:p>
    <w:p>
      <w:pPr>
        <w:pStyle w:val="TextBody"/>
        <w:bidi w:val="0"/>
        <w:spacing w:before="240" w:after="0"/>
        <w:jc w:val="left"/>
        <w:rPr/>
      </w:pPr>
      <w:r>
        <w:rPr/>
        <w:t>“</w:t>
      </w:r>
      <w:r>
        <w:rPr>
          <w:rFonts w:ascii="Times New Roman" w:hAnsi="Times New Roman"/>
          <w:b/>
          <w:sz w:val="20"/>
        </w:rPr>
        <w:t>Guarantors</w:t>
      </w:r>
      <w:r>
        <w:rPr>
          <w:rFonts w:ascii="Times New Roman" w:hAnsi="Times New Roman"/>
          <w:sz w:val="20"/>
        </w:rPr>
        <w:t xml:space="preserve">” means each of the Issuer’s Subsidiaries that is a party hereto as of the Restatement Effective Date and any Additional Guarantors. </w:t>
      </w:r>
    </w:p>
    <w:p>
      <w:pPr>
        <w:pStyle w:val="TextBody"/>
        <w:bidi w:val="0"/>
        <w:spacing w:before="240" w:after="0"/>
        <w:jc w:val="left"/>
        <w:rPr/>
      </w:pPr>
      <w:r>
        <w:rPr/>
        <w:t>“</w:t>
      </w:r>
      <w:r>
        <w:rPr>
          <w:rFonts w:ascii="Times New Roman" w:hAnsi="Times New Roman"/>
          <w:b/>
          <w:sz w:val="20"/>
        </w:rPr>
        <w:t>Hazardous Material</w:t>
      </w:r>
      <w:r>
        <w:rPr>
          <w:rFonts w:ascii="Times New Roman" w:hAnsi="Times New Roman"/>
          <w:sz w:val="20"/>
        </w:rPr>
        <w:t>” means any material or chemical regulated as hazardous or toxic or which could result in liability under any Environmental Law, including the following: toxic or hazardous substances; hazardous wastes; polychlorinated biphenyls (“</w:t>
      </w:r>
      <w:r>
        <w:rPr>
          <w:rFonts w:ascii="Times New Roman" w:hAnsi="Times New Roman"/>
          <w:b/>
          <w:sz w:val="20"/>
        </w:rPr>
        <w:t>PCBs</w:t>
      </w:r>
      <w:r>
        <w:rPr>
          <w:rFonts w:ascii="Times New Roman" w:hAnsi="Times New Roman"/>
          <w:sz w:val="20"/>
        </w:rPr>
        <w:t xml:space="preserve">”) or any substance or compound containing PCBs; friable asbestos or friable asbestos-containing materials; radon or any other radioactive materials including any source, special nuclear or by-product material; petroleum, petroleum products, by-products or breakdown products, crude oil or any fraction of the foregoing; per- and polyfluoroalkyl substances; and any pollutant or contaminant or other substance subject to regulation under any Environmental Laws due to their dangerous or deleterious properties or characteristics, or which can give rise to liability under any Environmental Laws due to their dangerous or deleterious properties or characteristics. </w:t>
      </w:r>
    </w:p>
    <w:p>
      <w:pPr>
        <w:pStyle w:val="TextBody"/>
        <w:bidi w:val="0"/>
        <w:spacing w:before="240" w:after="0"/>
        <w:jc w:val="left"/>
        <w:rPr/>
      </w:pPr>
      <w:r>
        <w:rPr/>
        <w:t>“</w:t>
      </w:r>
      <w:r>
        <w:rPr>
          <w:rFonts w:ascii="Times New Roman" w:hAnsi="Times New Roman"/>
          <w:b/>
          <w:sz w:val="20"/>
        </w:rPr>
        <w:t>Hedging Agreement</w:t>
      </w:r>
      <w:r>
        <w:rPr>
          <w:rFonts w:ascii="Times New Roman" w:hAnsi="Times New Roman"/>
          <w:sz w:val="20"/>
        </w:rPr>
        <w:t xml:space="preserve">” means any swap, cap, collar, forward purchase or similar agreement or arrangement dealing with interest rates, currency exchange rates or commodity prices, either generally or under specific contingencies. </w:t>
      </w:r>
    </w:p>
    <w:p>
      <w:pPr>
        <w:pStyle w:val="TextBody"/>
        <w:bidi w:val="0"/>
        <w:spacing w:before="240" w:after="0"/>
        <w:jc w:val="left"/>
        <w:rPr/>
      </w:pPr>
      <w:r>
        <w:rPr/>
        <w:t>“</w:t>
      </w:r>
      <w:r>
        <w:rPr>
          <w:rFonts w:ascii="Times New Roman" w:hAnsi="Times New Roman"/>
          <w:b/>
          <w:sz w:val="20"/>
        </w:rPr>
        <w:t>Hedging Obligations</w:t>
      </w:r>
      <w:r>
        <w:rPr>
          <w:rFonts w:ascii="Times New Roman" w:hAnsi="Times New Roman"/>
          <w:sz w:val="20"/>
        </w:rPr>
        <w:t xml:space="preserve">” means obligations under or with respect to Hedging Agreements.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 Person in whose name a Note is registered on the Registrar’s books. </w:t>
      </w:r>
    </w:p>
    <w:p>
      <w:pPr>
        <w:pStyle w:val="TextBody"/>
        <w:bidi w:val="0"/>
        <w:spacing w:before="240" w:after="0"/>
        <w:jc w:val="left"/>
        <w:rPr/>
      </w:pPr>
      <w:r>
        <w:rPr/>
        <w:t>“</w:t>
      </w:r>
      <w:r>
        <w:rPr>
          <w:rFonts w:ascii="Times New Roman" w:hAnsi="Times New Roman"/>
          <w:b/>
          <w:sz w:val="20"/>
        </w:rPr>
        <w:t>Immaterial Subsidiary</w:t>
      </w:r>
      <w:r>
        <w:rPr>
          <w:rFonts w:ascii="Times New Roman" w:hAnsi="Times New Roman"/>
          <w:sz w:val="20"/>
        </w:rPr>
        <w:t xml:space="preserve">” means each Restricted Subsidiary which, as of the most recently ended Test Period, contributed five percent (5%) or less of Consolidated Total Assets or Consolidated EBITDA for such period; </w:t>
      </w:r>
      <w:r>
        <w:rPr>
          <w:rFonts w:ascii="Times New Roman" w:hAnsi="Times New Roman"/>
          <w:i/>
          <w:sz w:val="20"/>
        </w:rPr>
        <w:t>provided</w:t>
      </w:r>
      <w:r>
        <w:rPr>
          <w:rFonts w:ascii="Times New Roman" w:hAnsi="Times New Roman"/>
          <w:sz w:val="20"/>
        </w:rPr>
        <w:t xml:space="preserve">, that, if, as of the most recently ended Test Period, the aggregate amount of Consolidated Total Assets or Consolidated EBITDA attributable to all Restricted Subsidiaries that are Immaterial Subsidiaries exceeds five percent (5%) of Consolidated Total Assets and Consolidated EBITDA for any such period, the Issuer shall designate sufficient Restricted Subsidiaries to eliminate such excess, and such designated Subsidiaries shall no longer constitute Immaterial Subsidiaries under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Issuer may designate and re-designate a Subsidiary as an Immaterial Subsidiary at any time, subject to the limitations set forth in this definition. </w:t>
      </w:r>
    </w:p>
    <w:p>
      <w:pPr>
        <w:pStyle w:val="TextBody"/>
        <w:bidi w:val="0"/>
        <w:spacing w:before="240" w:after="0"/>
        <w:jc w:val="left"/>
        <w:rPr/>
      </w:pPr>
      <w:r>
        <w:rPr/>
        <w:t>“</w:t>
      </w:r>
      <w:r>
        <w:rPr>
          <w:rFonts w:ascii="Times New Roman" w:hAnsi="Times New Roman"/>
          <w:b/>
          <w:sz w:val="20"/>
        </w:rPr>
        <w:t>Immediate Family Members</w:t>
      </w:r>
      <w:r>
        <w:rPr>
          <w:rFonts w:ascii="Times New Roman" w:hAnsi="Times New Roman"/>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in each case,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Indebtedness</w:t>
      </w:r>
      <w:r>
        <w:rPr>
          <w:rFonts w:ascii="Times New Roman" w:hAnsi="Times New Roman"/>
          <w:sz w:val="20"/>
        </w:rPr>
        <w:t>” means, of any Person, at any particular date, (a) all indebtedness of such Person for borrowed money or for the deferred purchase price of property or services (other than current trade payables or liabilities and deferred payment for services to employees or former employees incurred in the ordinary course of business and payable in accordance with customary practices, earn-outs, and other deferred compensation arrangements), (b) the face amount of all letters of credit issued for the account of such Person and, without duplication, all drafts drawn thereunder (but, for the avoidance of doubt, determined without double-counting any “back-to-back” letter of credit arrangements whereby a letter of credit serves as collateral for drawings made under another letter of credit), (c) all liabilities (other than obligations of such Person in respect of Leases) secured by any Lien on any property owned by such Person, to the extent attributable to such Person’s interest in such property, even though such Person has not assumed or become liable for the payment thereof, (d) Capital Lease Obligations, (e) obligations under any Earn-Out payable in cash (which for all purposes of this Indenture shall be valued at the amount reasonably likely to be payable with respect to such Earn-Out as expected to be reported on such Person’s financial statements), (f) Disqualified Capital Stock, (g) all indebtedness of such Person arising under acceptance facilities; but excluding (x) any obligation resulting from the existence of deferred revenue, including customer deposits and interest thereon in the ordinary course of business, (y) deferred rent and (z) trade and other accounts and accrued expenses payable in the ordinary course of business in accordance with customary trade terms and in the case of both</w:t>
      </w:r>
      <w:r>
        <w:rPr>
          <w:rFonts w:ascii="Times New Roman" w:hAnsi="Times New Roman"/>
          <w:sz w:val="20"/>
          <w:u w:val="single"/>
        </w:rPr>
        <w:t xml:space="preserve"> clauses (x)</w:t>
      </w:r>
      <w:r>
        <w:rPr>
          <w:rFonts w:ascii="Times New Roman" w:hAnsi="Times New Roman"/>
          <w:sz w:val="20"/>
        </w:rPr>
        <w:t xml:space="preserve"> and </w:t>
      </w:r>
      <w:r>
        <w:rPr>
          <w:rFonts w:ascii="Times New Roman" w:hAnsi="Times New Roman"/>
          <w:sz w:val="20"/>
          <w:u w:val="single"/>
        </w:rPr>
        <w:t>(z)</w:t>
      </w:r>
      <w:r>
        <w:rPr>
          <w:rFonts w:ascii="Times New Roman" w:hAnsi="Times New Roman"/>
          <w:sz w:val="20"/>
        </w:rPr>
        <w:t xml:space="preserve"> above, which are not overdue for a period of more than one hundred and twenty (120) days or, if overdue for more than one hundred and twenty (120) days, as to which a dispute exists and adequate reserves in conformity with GAAP have been established on the books of such Person and (h) all Contingent Obligations of such person in respect of Indebtedness or obligations of others of the kinds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Indenture, as amended or supplemented from time to time. </w:t>
      </w:r>
    </w:p>
    <w:p>
      <w:pPr>
        <w:pStyle w:val="TextBody"/>
        <w:bidi w:val="0"/>
        <w:spacing w:before="240" w:after="0"/>
        <w:jc w:val="left"/>
        <w:rPr/>
      </w:pPr>
      <w:r>
        <w:rPr/>
        <w:t>“</w:t>
      </w:r>
      <w:r>
        <w:rPr>
          <w:rFonts w:ascii="Times New Roman" w:hAnsi="Times New Roman"/>
          <w:b/>
          <w:sz w:val="20"/>
        </w:rPr>
        <w:t>Initial Financial Statements</w:t>
      </w:r>
      <w:r>
        <w:rPr>
          <w:rFonts w:ascii="Times New Roman" w:hAnsi="Times New Roman"/>
          <w:sz w:val="20"/>
        </w:rPr>
        <w:t xml:space="preserve">” means, collectively, consolidated and consolidating balance sheet and statements of income, stockholders equity and cash flows of the Issuer and its consolidated Subsidiaries (a) as of and for the fiscal year ended December 31, 2025, reported on by its independent public accountants, and (b) as of and for the fiscal quarter and the portion of the fiscal year ended June 30, 2026. </w:t>
      </w:r>
    </w:p>
    <w:p>
      <w:pPr>
        <w:pStyle w:val="TextBody"/>
        <w:bidi w:val="0"/>
        <w:spacing w:before="240" w:after="0"/>
        <w:jc w:val="left"/>
        <w:rPr/>
      </w:pPr>
      <w:r>
        <w:rPr/>
        <w:t>“</w:t>
      </w:r>
      <w:r>
        <w:rPr>
          <w:rFonts w:ascii="Times New Roman" w:hAnsi="Times New Roman"/>
          <w:b/>
          <w:sz w:val="20"/>
        </w:rPr>
        <w:t>Initial Notes</w:t>
      </w:r>
      <w:r>
        <w:rPr>
          <w:rFonts w:ascii="Times New Roman" w:hAnsi="Times New Roman"/>
          <w:sz w:val="20"/>
        </w:rPr>
        <w:t xml:space="preserve">” has the meaning assigned to such term in the recitals hereto. </w:t>
      </w:r>
    </w:p>
    <w:p>
      <w:pPr>
        <w:pStyle w:val="TextBody"/>
        <w:bidi w:val="0"/>
        <w:spacing w:before="240" w:after="0"/>
        <w:jc w:val="left"/>
        <w:rPr/>
      </w:pPr>
      <w:r>
        <w:rPr/>
        <w:t>“</w:t>
      </w:r>
      <w:r>
        <w:rPr>
          <w:rFonts w:ascii="Times New Roman" w:hAnsi="Times New Roman"/>
          <w:b/>
          <w:sz w:val="20"/>
        </w:rPr>
        <w:t>Insolvency Event</w:t>
      </w:r>
      <w:r>
        <w:rPr>
          <w:rFonts w:ascii="Times New Roman" w:hAnsi="Times New Roman"/>
          <w:sz w:val="20"/>
        </w:rPr>
        <w:t xml:space="preserve">” has the meaning assigned to such term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Insurance Collateral LC Obligations</w:t>
      </w:r>
      <w:r>
        <w:rPr>
          <w:rFonts w:ascii="Times New Roman" w:hAnsi="Times New Roman"/>
          <w:sz w:val="20"/>
        </w:rPr>
        <w:t xml:space="preserve">” has the meaning assigned to such term in </w:t>
      </w:r>
      <w:r>
        <w:rPr>
          <w:rFonts w:ascii="Times New Roman" w:hAnsi="Times New Roman"/>
          <w:sz w:val="20"/>
          <w:u w:val="single"/>
        </w:rPr>
        <w:t>Section 6.01(u)</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assigned to such term in the Security Agreement. </w:t>
      </w:r>
    </w:p>
    <w:p>
      <w:pPr>
        <w:pStyle w:val="TextBody"/>
        <w:bidi w:val="0"/>
        <w:spacing w:before="240" w:after="0"/>
        <w:jc w:val="left"/>
        <w:rPr/>
      </w:pPr>
      <w:r>
        <w:rPr/>
        <w:t>“</w:t>
      </w:r>
      <w:r>
        <w:rPr>
          <w:rFonts w:ascii="Times New Roman" w:hAnsi="Times New Roman"/>
          <w:b/>
          <w:sz w:val="20"/>
        </w:rPr>
        <w:t>Intercompany Note</w:t>
      </w:r>
      <w:r>
        <w:rPr>
          <w:rFonts w:ascii="Times New Roman" w:hAnsi="Times New Roman"/>
          <w:sz w:val="20"/>
        </w:rPr>
        <w:t xml:space="preserve">” means an intercompany note in form acceptable to the Trustee and in form and substance reasonably acceptable to the Issuer. </w:t>
      </w:r>
    </w:p>
    <w:p>
      <w:pPr>
        <w:pStyle w:val="TextBody"/>
        <w:bidi w:val="0"/>
        <w:spacing w:before="240" w:after="0"/>
        <w:jc w:val="left"/>
        <w:rPr/>
      </w:pPr>
      <w:r>
        <w:rPr/>
        <w:t>“</w:t>
      </w:r>
      <w:r>
        <w:rPr>
          <w:rFonts w:ascii="Times New Roman" w:hAnsi="Times New Roman"/>
          <w:b/>
          <w:sz w:val="20"/>
        </w:rPr>
        <w:t>Intercreditor Agreement</w:t>
      </w:r>
      <w:r>
        <w:rPr>
          <w:rFonts w:ascii="Times New Roman" w:hAnsi="Times New Roman"/>
          <w:sz w:val="20"/>
        </w:rPr>
        <w:t xml:space="preserve">” means, as the context may require, the ABL/Note Intercreditor Agreement and/or any Other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Interest Election Request</w:t>
      </w:r>
      <w:r>
        <w:rPr>
          <w:rFonts w:ascii="Times New Roman" w:hAnsi="Times New Roman"/>
          <w:sz w:val="20"/>
        </w:rPr>
        <w:t xml:space="preserve">” means an interest election request substantially in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means (a) with respect to any ABR Note, the last Business Day of each March, June, September and December to occur during any period in which such Note is outstanding, (b) with respect to any SOFR Note, the last day of the Interest Period and, in the case of a SOFR Note with an Interest Period of more than three (3) months’ duration, each day prior to the last day of such Interest Period that occurs at intervals of three (3) months’ duration after the first day of such Interest Period and (c) the Maturity Date.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means, with respect to any SOFR Note, the period commencing on the date of issuance of a Note and ending on the numerically corresponding day in the calendar month that is one, three or six (6) months thereafter (in each case, subject to the availability thereof), as the Issuer may elect in writing to the Trustee at least five (5) Business Days prior to the start of the relevant Interest Period pursuant to </w:t>
      </w:r>
      <w:r>
        <w:rPr>
          <w:rFonts w:ascii="Times New Roman" w:hAnsi="Times New Roman"/>
          <w:sz w:val="20"/>
          <w:u w:val="single"/>
        </w:rPr>
        <w:t>Section 2.13(b)</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SOFR Note shall extend beyond the Maturity Date. For purposes hereof, the date of a Note initially shall be the date on which such Note is issued and thereafter shall be the effective date of the most recent conversion or continuation of such Note. </w:t>
      </w:r>
    </w:p>
    <w:p>
      <w:pPr>
        <w:pStyle w:val="TextBody"/>
        <w:bidi w:val="0"/>
        <w:spacing w:before="240" w:after="0"/>
        <w:jc w:val="left"/>
        <w:rPr/>
      </w:pPr>
      <w:r>
        <w:rPr/>
        <w:t>“</w:t>
      </w:r>
      <w:r>
        <w:rPr>
          <w:rFonts w:ascii="Times New Roman" w:hAnsi="Times New Roman"/>
          <w:b/>
          <w:sz w:val="20"/>
        </w:rPr>
        <w:t>Investments</w:t>
      </w:r>
      <w:r>
        <w:rPr>
          <w:rFonts w:ascii="Times New Roman" w:hAnsi="Times New Roman"/>
          <w:sz w:val="20"/>
        </w:rPr>
        <w:t xml:space="preserve">” has the meaning assigned to such term in </w:t>
      </w:r>
      <w:r>
        <w:rPr>
          <w:rFonts w:ascii="Times New Roman" w:hAnsi="Times New Roman"/>
          <w:sz w:val="20"/>
          <w:u w:val="single"/>
        </w:rPr>
        <w:t>Section 6.03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Investors</w:t>
      </w:r>
      <w:r>
        <w:rPr>
          <w:rFonts w:ascii="Times New Roman" w:hAnsi="Times New Roman"/>
          <w:sz w:val="20"/>
        </w:rPr>
        <w:t xml:space="preserve">” means, collectively, the Backstop Parties, and any of their respective Affiliates or limited partners, but not including, however, any portfolio company of any of the foregoing.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b/>
          <w:sz w:val="20"/>
        </w:rPr>
        <w:t>Issuer</w:t>
      </w:r>
      <w:r>
        <w:rPr>
          <w:rFonts w:ascii="Times New Roman" w:hAnsi="Times New Roman"/>
          <w:sz w:val="20"/>
        </w:rPr>
        <w:t xml:space="preserve">” has the meaning assigned to such term in the preamble hereto. </w:t>
      </w:r>
    </w:p>
    <w:p>
      <w:pPr>
        <w:pStyle w:val="TextBody"/>
        <w:bidi w:val="0"/>
        <w:spacing w:before="240" w:after="0"/>
        <w:jc w:val="left"/>
        <w:rPr/>
      </w:pPr>
      <w:r>
        <w:rPr/>
        <w:t>“</w:t>
      </w:r>
      <w:r>
        <w:rPr>
          <w:rFonts w:ascii="Times New Roman" w:hAnsi="Times New Roman"/>
          <w:b/>
          <w:sz w:val="20"/>
        </w:rPr>
        <w:t>Junior Secured Indebtedness</w:t>
      </w:r>
      <w:r>
        <w:rPr>
          <w:rFonts w:ascii="Times New Roman" w:hAnsi="Times New Roman"/>
          <w:sz w:val="20"/>
        </w:rPr>
        <w:t xml:space="preserve">” means senior Indebtedness of the Note Parties for borrowed money that is secured by (a) Liens on the Collateral on a junior basis to the Liens securing the Obligations and any Permitted Pari Passu Refinancing Debt in accordance with an Other Intercreditor Agreement, (b) Liens on the ABL Priority Collateral on a junior basis to the Liens securing the ABL Obligations in accordance with the ABL/Note Intercreditor Agreement and (c) Liens on the Notes Priority Collateral on a senior basis to the Liens securing ABL Obligations in accordance with the ABL/Note Intercreditor Agreement. </w:t>
      </w:r>
    </w:p>
    <w:p>
      <w:pPr>
        <w:pStyle w:val="TextBody"/>
        <w:bidi w:val="0"/>
        <w:spacing w:before="240" w:after="0"/>
        <w:jc w:val="left"/>
        <w:rPr/>
      </w:pPr>
      <w:r>
        <w:rPr/>
        <w:t>“</w:t>
      </w:r>
      <w:r>
        <w:rPr>
          <w:rFonts w:ascii="Times New Roman" w:hAnsi="Times New Roman"/>
          <w:b/>
          <w:sz w:val="20"/>
        </w:rPr>
        <w:t>LCT Election</w:t>
      </w:r>
      <w:r>
        <w:rPr>
          <w:rFonts w:ascii="Times New Roman" w:hAnsi="Times New Roman"/>
          <w:sz w:val="20"/>
        </w:rPr>
        <w:t xml:space="preserve">” means the Issuer’s election to test the permissibility of a Limited Condition Acquisition in accordance with the methodology set forth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LCT Test Date</w:t>
      </w:r>
      <w:r>
        <w:rPr>
          <w:rFonts w:ascii="Times New Roman" w:hAnsi="Times New Roman"/>
          <w:sz w:val="20"/>
        </w:rPr>
        <w:t xml:space="preserve">” has meaning given to that term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Leases</w:t>
      </w:r>
      <w:r>
        <w:rPr>
          <w:rFonts w:ascii="Times New Roman" w:hAnsi="Times New Roman"/>
          <w:sz w:val="20"/>
        </w:rPr>
        <w:t xml:space="preserve">” means any and all leases, subleases, tenancies, options, concession agreements, rental agreements, occupancy agreements, access agreements and any other agreements (including all amendments, extensions, replacements, renewals, modifications and/or guarantees thereof), whether or not of record and whether now in existence or hereafter entered into, affecting the use or occupancy of all or any portion of any Real Property. </w:t>
      </w:r>
    </w:p>
    <w:p>
      <w:pPr>
        <w:pStyle w:val="TextBody"/>
        <w:bidi w:val="0"/>
        <w:spacing w:before="240" w:after="0"/>
        <w:jc w:val="left"/>
        <w:rPr/>
      </w:pPr>
      <w:r>
        <w:rPr/>
        <w:t>“</w:t>
      </w:r>
      <w:r>
        <w:rPr>
          <w:rFonts w:ascii="Times New Roman" w:hAnsi="Times New Roman"/>
          <w:b/>
          <w:sz w:val="20"/>
        </w:rPr>
        <w:t>Legal Defeasance</w:t>
      </w:r>
      <w:r>
        <w:rPr>
          <w:rFonts w:ascii="Times New Roman" w:hAnsi="Times New Roman"/>
          <w:sz w:val="20"/>
        </w:rPr>
        <w:t xml:space="preserve">” has the meaning assigned to such term in </w:t>
      </w:r>
      <w:r>
        <w:rPr>
          <w:rFonts w:ascii="Times New Roman" w:hAnsi="Times New Roman"/>
          <w:sz w:val="20"/>
          <w:u w:val="single"/>
        </w:rPr>
        <w:t>Section 11.02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with respect to any property, (a) any mortgage, deed of trust, lien, license, pledge, encumbrance, claim, charge, assignment for security, hypothecation, security interest or encumbrance of any kind or any arrangement to provide priority or preference, including any easement, right-of-way or other encumbrance on title to owned Real Property, in each of the foregoing cases whether voluntary or imposed by law; (b) the interest of a vendor or a lessor under any conditional sale agreement, Capital Lease or title retention agreement (or any financing lease having substantially the same economic effect as any of the foregoing) relating to such property; </w:t>
      </w:r>
      <w:r>
        <w:rPr>
          <w:rFonts w:ascii="Times New Roman" w:hAnsi="Times New Roman"/>
          <w:i/>
          <w:sz w:val="20"/>
        </w:rPr>
        <w:t>provided</w:t>
      </w:r>
      <w:r>
        <w:rPr>
          <w:rFonts w:ascii="Times New Roman" w:hAnsi="Times New Roman"/>
          <w:sz w:val="20"/>
        </w:rPr>
        <w:t xml:space="preserve">, that, in no event shall an operating lease be deemed to be a Lien; and (c) in the case of securities, any purchase option, call or similar right of a third party with respect to such securities. </w:t>
      </w:r>
    </w:p>
    <w:p>
      <w:pPr>
        <w:pStyle w:val="TextBody"/>
        <w:bidi w:val="0"/>
        <w:spacing w:before="240" w:after="0"/>
        <w:jc w:val="left"/>
        <w:rPr/>
      </w:pPr>
      <w:r>
        <w:rPr/>
        <w:t>“</w:t>
      </w:r>
      <w:r>
        <w:rPr>
          <w:rFonts w:ascii="Times New Roman" w:hAnsi="Times New Roman"/>
          <w:b/>
          <w:sz w:val="20"/>
        </w:rPr>
        <w:t>Limited Condition Acquisition</w:t>
      </w:r>
      <w:r>
        <w:rPr>
          <w:rFonts w:ascii="Times New Roman" w:hAnsi="Times New Roman"/>
          <w:sz w:val="20"/>
        </w:rPr>
        <w:t xml:space="preserve">” means any Investment, or any acquisition of any assets, business or person, permitted hereunder (subject to </w:t>
      </w:r>
      <w:r>
        <w:rPr>
          <w:rFonts w:ascii="Times New Roman" w:hAnsi="Times New Roman"/>
          <w:sz w:val="20"/>
          <w:u w:val="single"/>
        </w:rPr>
        <w:t>Section 1.06</w:t>
      </w:r>
      <w:r>
        <w:rPr>
          <w:rFonts w:ascii="Times New Roman" w:hAnsi="Times New Roman"/>
          <w:sz w:val="20"/>
        </w:rPr>
        <w:t xml:space="preserve"> and including, for the avoidance of doubt, any Permitted Acquisition) by Issuer or one or more of its Restricted Subsidiaries, including, without limitation, by way of merger or amalgamation, whose consummation is not conditioned on the availability of, or on obtaining, third party financing. </w:t>
      </w:r>
    </w:p>
    <w:p>
      <w:pPr>
        <w:pStyle w:val="TextBody"/>
        <w:bidi w:val="0"/>
        <w:spacing w:before="240" w:after="0"/>
        <w:jc w:val="left"/>
        <w:rPr/>
      </w:pPr>
      <w:r>
        <w:rPr/>
        <w:t>“</w:t>
      </w:r>
      <w:r>
        <w:rPr>
          <w:rFonts w:ascii="Times New Roman" w:hAnsi="Times New Roman"/>
          <w:b/>
          <w:sz w:val="20"/>
        </w:rPr>
        <w:t>Make-Whole Amount</w:t>
      </w:r>
      <w:r>
        <w:rPr>
          <w:rFonts w:ascii="Times New Roman" w:hAnsi="Times New Roman"/>
          <w:sz w:val="20"/>
        </w:rPr>
        <w:t xml:space="preserve">” means, with respect to the Called Principal of any Note, an amount equal to the Discounted Value of the Remaining Scheduled Payments with respect to the Called Principal of such Note; </w:t>
      </w:r>
      <w:r>
        <w:rPr>
          <w:rFonts w:ascii="Times New Roman" w:hAnsi="Times New Roman"/>
          <w:i/>
          <w:sz w:val="20"/>
        </w:rPr>
        <w:t>provided</w:t>
      </w:r>
      <w:r>
        <w:rPr>
          <w:rFonts w:ascii="Times New Roman" w:hAnsi="Times New Roman"/>
          <w:sz w:val="20"/>
        </w:rPr>
        <w:t xml:space="preserve">, that, the Make-Whole Amount shall in no event be less than zero. The Issuer will calculate the Make-Whole Amount and, prior to the redemption date or repurchase date, as applicable, provide an Officer’s Certificate to the Trustee setting forth the Make-Whole Amount and showing the calculation of each in reasonable detail. </w:t>
      </w:r>
    </w:p>
    <w:p>
      <w:pPr>
        <w:pStyle w:val="TextBody"/>
        <w:bidi w:val="0"/>
        <w:spacing w:before="240" w:after="0"/>
        <w:jc w:val="left"/>
        <w:rPr/>
      </w:pPr>
      <w:r>
        <w:rPr/>
        <w:t>“</w:t>
      </w:r>
      <w:r>
        <w:rPr>
          <w:rFonts w:ascii="Times New Roman" w:hAnsi="Times New Roman"/>
          <w:b/>
          <w:sz w:val="20"/>
        </w:rPr>
        <w:t>Make-Whole Event</w:t>
      </w:r>
      <w:r>
        <w:rPr>
          <w:rFonts w:ascii="Times New Roman" w:hAnsi="Times New Roman"/>
          <w:sz w:val="20"/>
        </w:rPr>
        <w:t xml:space="preserve">” has the meaning assigned to such term in </w:t>
      </w:r>
      <w:r>
        <w:rPr>
          <w:rFonts w:ascii="Times New Roman" w:hAnsi="Times New Roman"/>
          <w:sz w:val="20"/>
          <w:u w:val="single"/>
        </w:rPr>
        <w:t>Section 3.10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Make-Whole Expiry Date</w:t>
      </w:r>
      <w:r>
        <w:rPr>
          <w:rFonts w:ascii="Times New Roman" w:hAnsi="Times New Roman"/>
          <w:sz w:val="20"/>
        </w:rPr>
        <w:t xml:space="preserve">” has the meaning assigned to such term in </w:t>
      </w:r>
      <w:r>
        <w:rPr>
          <w:rFonts w:ascii="Times New Roman" w:hAnsi="Times New Roman"/>
          <w:sz w:val="20"/>
          <w:u w:val="single"/>
        </w:rPr>
        <w:t>Section 3.07(a)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Management Stockholder</w:t>
      </w:r>
      <w:r>
        <w:rPr>
          <w:rFonts w:ascii="Times New Roman" w:hAnsi="Times New Roman"/>
          <w:sz w:val="20"/>
        </w:rPr>
        <w:t xml:space="preserve">” means members of management (and their Controlled Investment Affiliates and Immediate Family Members and any permitted transferees thereof) of the Issuers who are holders of Equity Interests of the Issuer on the Restatement Effective Date or will become holders of such Equity Interests in connection with the Transactions.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 material adverse effect on (a) the business, assets, results of operations or financial condition of the Issuer and its Restricted Subsidiaries, taken as a whole, (b) the rights and remedies of the Trustee, the Collateral Agent or the Holders under the Note Documents (other than to the extent a result of the action or inaction of the Trustee, the Collateral Agent, the Holders or their respective affiliates, officers, employees, agents, attorneys or representatives) or (c) the ability of the Note Parties, taken as a whole, to perform their payment obligations under the Note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Material Real Property</w:t>
      </w:r>
      <w:r>
        <w:rPr>
          <w:rFonts w:ascii="Times New Roman" w:hAnsi="Times New Roman"/>
          <w:sz w:val="20"/>
        </w:rPr>
        <w:t xml:space="preserve">” means any Real Property (a) owned by any Group Member that has a fair market value (as reasonably determined by the Issuer) equal to or in excess of $8,000,000, determined (i) in the case of any such Real Property owned by any Group Member on the Closing Date, as of the Closing Date, (ii) in the case of any such Real Property owned by any Restricted Subsidiary that becomes a Group Member after the Closing Date, as of the date such Restricted Subsidiary becomes a Group Member, or (iii) in the case of any such Real Property acquired by any Group Member after the Closing Date or, in the case of any Group Member referred to in </w:t>
      </w:r>
      <w:r>
        <w:rPr>
          <w:rFonts w:ascii="Times New Roman" w:hAnsi="Times New Roman"/>
          <w:sz w:val="20"/>
          <w:u w:val="single"/>
        </w:rPr>
        <w:t>clause (ii)</w:t>
      </w:r>
      <w:r>
        <w:rPr>
          <w:rFonts w:ascii="Times New Roman" w:hAnsi="Times New Roman"/>
          <w:sz w:val="20"/>
        </w:rPr>
        <w:t xml:space="preserve">, after it becomes a Group Member, as of the date of acquisition thereof or (b) leased by any Group Member that has an annual payments equal to or in excess of $1,000,000.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March 12, 2030; </w:t>
      </w:r>
      <w:r>
        <w:rPr>
          <w:rFonts w:ascii="Times New Roman" w:hAnsi="Times New Roman"/>
          <w:i/>
          <w:sz w:val="20"/>
        </w:rPr>
        <w:t>provided</w:t>
      </w:r>
      <w:r>
        <w:rPr>
          <w:rFonts w:ascii="Times New Roman" w:hAnsi="Times New Roman"/>
          <w:sz w:val="20"/>
        </w:rPr>
        <w:t xml:space="preserve">, that, in each case, if such date is not a Business Day, the “Maturity Date” shall be the Business Day immediately preceding such date. </w:t>
      </w:r>
    </w:p>
    <w:p>
      <w:pPr>
        <w:pStyle w:val="TextBody"/>
        <w:bidi w:val="0"/>
        <w:spacing w:before="240" w:after="0"/>
        <w:jc w:val="left"/>
        <w:rPr/>
      </w:pPr>
      <w:r>
        <w:rPr/>
        <w:t>“</w:t>
      </w:r>
      <w:r>
        <w:rPr>
          <w:rFonts w:ascii="Times New Roman" w:hAnsi="Times New Roman"/>
          <w:b/>
          <w:sz w:val="20"/>
        </w:rPr>
        <w:t>Maximum Additional Debt Amount</w:t>
      </w:r>
      <w:r>
        <w:rPr>
          <w:rFonts w:ascii="Times New Roman" w:hAnsi="Times New Roman"/>
          <w:sz w:val="20"/>
        </w:rPr>
        <w:t xml:space="preserve">” means an aggregate amount equal to $25,000,000. </w:t>
      </w:r>
    </w:p>
    <w:p>
      <w:pPr>
        <w:pStyle w:val="TextBody"/>
        <w:bidi w:val="0"/>
        <w:spacing w:before="240" w:after="0"/>
        <w:jc w:val="left"/>
        <w:rPr/>
      </w:pPr>
      <w:r>
        <w:rPr/>
        <w:t>“</w:t>
      </w:r>
      <w:r>
        <w:rPr>
          <w:rFonts w:ascii="Times New Roman" w:hAnsi="Times New Roman"/>
          <w:b/>
          <w:sz w:val="20"/>
        </w:rPr>
        <w:t>Moody</w:t>
      </w:r>
      <w:r>
        <w:rPr>
          <w:rFonts w:ascii="Times New Roman" w:hAnsi="Times New Roman"/>
          <w:sz w:val="20"/>
        </w:rPr>
        <w:t>’</w:t>
      </w:r>
      <w:r>
        <w:rPr>
          <w:rFonts w:ascii="Times New Roman" w:hAnsi="Times New Roman"/>
          <w:b/>
          <w:sz w:val="20"/>
        </w:rPr>
        <w:t>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b/>
          <w:sz w:val="20"/>
        </w:rPr>
        <w:t>Mortgage</w:t>
      </w:r>
      <w:r>
        <w:rPr>
          <w:rFonts w:ascii="Times New Roman" w:hAnsi="Times New Roman"/>
          <w:sz w:val="20"/>
        </w:rPr>
        <w:t xml:space="preserve">” means any mortgage, deed of trust or other agreement, in recordable form, which conveys or evidences a Lien in favor of the Collateral Agent, for the benefit of the Collateral Agent and the other Secured Parties, on any Material Real Property, which shall be in form reasonably satisfactory to the Collateral Agent. </w:t>
      </w:r>
    </w:p>
    <w:p>
      <w:pPr>
        <w:pStyle w:val="TextBody"/>
        <w:bidi w:val="0"/>
        <w:spacing w:before="240" w:after="0"/>
        <w:jc w:val="left"/>
        <w:rPr/>
      </w:pPr>
      <w:r>
        <w:rPr/>
        <w:t>“</w:t>
      </w:r>
      <w:r>
        <w:rPr>
          <w:rFonts w:ascii="Times New Roman" w:hAnsi="Times New Roman"/>
          <w:b/>
          <w:sz w:val="20"/>
        </w:rPr>
        <w:t>Mortgage Policy</w:t>
      </w:r>
      <w:r>
        <w:rPr>
          <w:rFonts w:ascii="Times New Roman" w:hAnsi="Times New Roman"/>
          <w:sz w:val="20"/>
        </w:rPr>
        <w:t xml:space="preserve">” means a fully paid ALTA extended coverage lender’s policy of title insurance in a commercially reasonable amount (not to exceed one hundred ten percent (110%) of the fair market value of the Material Real Property (determined as set forth in the definition of such term) to which such policy pertains) issued by a nationally recognized title insurance company in the applicable jurisdiction, insuring the relevant Mortgage as having created a valid and subsisting Lien on the real property described therein with the ranking or the priority that it is expressed to have in such Mortgage, subject only to Permitted Liens, together with such endorsements as may be reasonably necessary, and otherwise in form reasonably acceptable to the Collateral Agent. </w:t>
      </w:r>
    </w:p>
    <w:p>
      <w:pPr>
        <w:pStyle w:val="TextBody"/>
        <w:bidi w:val="0"/>
        <w:spacing w:before="240" w:after="0"/>
        <w:jc w:val="left"/>
        <w:rPr/>
      </w:pPr>
      <w:r>
        <w:rPr/>
        <w:t>“</w:t>
      </w:r>
      <w:r>
        <w:rPr>
          <w:rFonts w:ascii="Times New Roman" w:hAnsi="Times New Roman"/>
          <w:b/>
          <w:sz w:val="20"/>
        </w:rPr>
        <w:t>Mortgaged Property</w:t>
      </w:r>
      <w:r>
        <w:rPr>
          <w:rFonts w:ascii="Times New Roman" w:hAnsi="Times New Roman"/>
          <w:sz w:val="20"/>
        </w:rPr>
        <w:t xml:space="preserve">” means any Real Property that is subject to a Mortgage, </w:t>
      </w:r>
      <w:r>
        <w:rPr>
          <w:rFonts w:ascii="Times New Roman" w:hAnsi="Times New Roman"/>
          <w:i/>
          <w:sz w:val="20"/>
        </w:rPr>
        <w:t>provided</w:t>
      </w:r>
      <w:r>
        <w:rPr>
          <w:rFonts w:ascii="Times New Roman" w:hAnsi="Times New Roman"/>
          <w:sz w:val="20"/>
        </w:rPr>
        <w:t xml:space="preserve">, that, only Material Real Property shall be required to be Mortgaged Property. </w:t>
      </w:r>
    </w:p>
    <w:p>
      <w:pPr>
        <w:pStyle w:val="TextBody"/>
        <w:bidi w:val="0"/>
        <w:spacing w:before="240" w:after="0"/>
        <w:jc w:val="left"/>
        <w:rPr/>
      </w:pPr>
      <w:r>
        <w:rPr/>
        <w:t>“</w:t>
      </w:r>
      <w:r>
        <w:rPr>
          <w:rFonts w:ascii="Times New Roman" w:hAnsi="Times New Roman"/>
          <w:b/>
          <w:sz w:val="20"/>
        </w:rPr>
        <w:t>Motor Vehicle Sale and Leaseback Transaction</w:t>
      </w:r>
      <w:r>
        <w:rPr>
          <w:rFonts w:ascii="Times New Roman" w:hAnsi="Times New Roman"/>
          <w:sz w:val="20"/>
        </w:rPr>
        <w:t xml:space="preserve">” means a Sale Leaseback Transaction or other similar transaction, in each case, in respect of Motor Vehicles, pursuant to which (i) the Issuer or Restricted Subsidiary transfers title in one or more Motor Vehicles to a third party for minimal consideration, leases the Motor Vehicle back and has the right to receive sale proceeds (less commissions) upon a sale by such third party of such Motor Vehicle, (ii) no material lease payments are made by the Issuer or such Restricted Subsidiary and (iii) the fair market value of all Motor Vehicles subject to such transaction, when combined with the fair market value of the Motor Vehicles transferred in any other Motor Vehicle Sale and Leaseback Transaction, does not exceed $20,000,000 in the aggregate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Motor Vehicles</w:t>
      </w:r>
      <w:r>
        <w:rPr>
          <w:rFonts w:ascii="Times New Roman" w:hAnsi="Times New Roman"/>
          <w:sz w:val="20"/>
        </w:rPr>
        <w:t xml:space="preserve">” means motor vehicles (including automobiles and trucks), trailers, containers and related equipment owned or leased by the Issuer or any of its Subsidiaries.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 “multiemployer plan” within the meaning of Section 4001(a)(3) or Section 3(37) of ERISA which is subject to Title IV of ERISA (a) to which any Group Member is then making or accruing an obligation to make contributions, or (b) with respect to which any Group Member has any liability (including on account of an ERISA Affiliate). </w:t>
      </w:r>
    </w:p>
    <w:p>
      <w:pPr>
        <w:pStyle w:val="TextBody"/>
        <w:bidi w:val="0"/>
        <w:spacing w:before="240" w:after="0"/>
        <w:jc w:val="left"/>
        <w:rPr/>
      </w:pPr>
      <w:r>
        <w:rPr/>
        <w:t>“</w:t>
      </w:r>
      <w:r>
        <w:rPr>
          <w:rFonts w:ascii="Times New Roman" w:hAnsi="Times New Roman"/>
          <w:b/>
          <w:sz w:val="20"/>
        </w:rPr>
        <w:t>Net Capital Expenditures</w:t>
      </w:r>
      <w:r>
        <w:rPr>
          <w:rFonts w:ascii="Times New Roman" w:hAnsi="Times New Roman"/>
          <w:sz w:val="20"/>
        </w:rPr>
        <w:t xml:space="preserve">” means Capital Expenditures net of any dispositions of capital assets during the applicable period. </w:t>
      </w:r>
    </w:p>
    <w:p>
      <w:pPr>
        <w:pStyle w:val="TextBody"/>
        <w:bidi w:val="0"/>
        <w:spacing w:before="240" w:after="0"/>
        <w:jc w:val="left"/>
        <w:rPr/>
      </w:pPr>
      <w:r>
        <w:rPr/>
        <w:t>“</w:t>
      </w:r>
      <w:r>
        <w:rPr>
          <w:rFonts w:ascii="Times New Roman" w:hAnsi="Times New Roman"/>
          <w:b/>
          <w:sz w:val="20"/>
        </w:rPr>
        <w:t>Net Cash Proceeds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with respect to any Asset Sale by the Issuer or any of its Restricted Subsidiaries (other than any issuance or sale of Equity Interests), the proceeds thereof in the form of cash, cash equivalents (including Cash Equivalents) and marketable securities (including any such proceeds received by way of deferred payment of principal pursuant to a note or installment receivable or purchase price adjustment receivable, or by the sale, transfer or other disposition of any non-cash consideration received in connection therewith or otherwise, but only as and when received) received by any Group Member, net of, without duplication, (i) fees and expenses (including brokers’ fees or commissions, discounts, legal, accounting and other professional and transactional fees, transfer and similar taxes and the Issuer’s good faith estimate of Taxes paid or payable by any Group Member in connection with such sale or with the repatriation of such proceeds (after taking into account any available tax credits or deductions that currently offset such taxes, and including any payments or payable amounts under tax sharing arrangements permitted under the Note Documents)), (ii) amounts provided as a reserve, in accordance with GAAP, against (x) any liabilities under any indemnification obligations, earn-out obligations or purchase price adjustments associated with such Asset Sale or (y) any other liabilities retained or payable by any Group Member associated with the Properties sold in such Asset Sale (</w:t>
      </w:r>
      <w:r>
        <w:rPr>
          <w:rFonts w:ascii="Times New Roman" w:hAnsi="Times New Roman"/>
          <w:i/>
          <w:sz w:val="20"/>
        </w:rPr>
        <w:t>provided</w:t>
      </w:r>
      <w:r>
        <w:rPr>
          <w:rFonts w:ascii="Times New Roman" w:hAnsi="Times New Roman"/>
          <w:sz w:val="20"/>
        </w:rPr>
        <w:t xml:space="preserve">, that, to the extent and at the time any such amounts are released from such reserve, such amounts shall constitute Net Cash Proceeds), (iii) the principal amount, premium or penalty, if any, interest and other amounts on any Indebtedness for borrowed money (other than the Notes) that is secured by a Lien on the Properties sold in such Asset Sale (so long as such Lien was permitted to encumber such Properties under the Note Documents at the time of such sale and was not a </w:t>
      </w:r>
      <w:r>
        <w:rPr>
          <w:rFonts w:ascii="Times New Roman" w:hAnsi="Times New Roman"/>
          <w:i/>
          <w:sz w:val="20"/>
        </w:rPr>
        <w:t>pari passu</w:t>
      </w:r>
      <w:r>
        <w:rPr>
          <w:rFonts w:ascii="Times New Roman" w:hAnsi="Times New Roman"/>
          <w:sz w:val="20"/>
        </w:rPr>
        <w:t xml:space="preserve"> or junior Lien on Collateral) and which is repaid with such proceeds (other than any such Indebtedness assumed by the purchaser of such Properties) and (iv) the Issuer’s good faith estimate of the amount of payments required to be made with respect to unassumed liabilities relating to the properties sold within three hundred sixty (360) days of such Asset Sale (</w:t>
      </w:r>
      <w:r>
        <w:rPr>
          <w:rFonts w:ascii="Times New Roman" w:hAnsi="Times New Roman"/>
          <w:i/>
          <w:sz w:val="20"/>
        </w:rPr>
        <w:t>provided</w:t>
      </w:r>
      <w:r>
        <w:rPr>
          <w:rFonts w:ascii="Times New Roman" w:hAnsi="Times New Roman"/>
          <w:sz w:val="20"/>
        </w:rPr>
        <w:t xml:space="preserve">, that, to the extent such cash proceeds are not used to make payments in respect of such unassumed liabilities within three hundred sixty (360) days after such Asset Sale, such cash proceeds shall constitute Net Cash Proceeds);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Casualty Event, the cash insurance proceeds, condemnation awards and other compensation received by, or on behalf of, any Group Member in respect thereof, net of all costs and expenses incurred in connection with the collection of such proceeds, awards or other compensation in respect of such Casualty Event (including, in respect of any such Casualty Event, transfer and similar Taxes and the Issuer’s good faith estimate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Taxes paid or payable by any Group Member in connection with such Casualty Event or with the repatriation of such proceeds (after taking into account any available tax credits or deductions that currently offset such taxes, and including any payments or payable amounts under tax sharing arrangements permitted under the Note Documents)) net of, without duplication, the principal amount, premium or penalty, if any, interest and other amounts on any Indebtedness for borrowed money (other than the Notes) that is secured by a Lien on property lost, damaged, destroyed or taken in connection with such Casualty Event (so long as such Lien was permitted to encumber such Properties under the Note Documents at the time of such Casualty Event and was not a </w:t>
      </w:r>
      <w:r>
        <w:rPr>
          <w:rFonts w:ascii="Times New Roman" w:hAnsi="Times New Roman"/>
          <w:i/>
          <w:sz w:val="20"/>
        </w:rPr>
        <w:t>pari passu</w:t>
      </w:r>
      <w:r>
        <w:rPr>
          <w:rFonts w:ascii="Times New Roman" w:hAnsi="Times New Roman"/>
          <w:sz w:val="20"/>
        </w:rPr>
        <w:t xml:space="preserve"> or junior Lien on Collateral) and which is repaid with such proceeds; </w:t>
      </w:r>
    </w:p>
    <w:p>
      <w:pPr>
        <w:pStyle w:val="TextBody"/>
        <w:bidi w:val="0"/>
        <w:spacing w:before="120" w:after="0"/>
        <w:jc w:val="left"/>
        <w:rPr>
          <w:rFonts w:ascii="Times New Roman" w:hAnsi="Times New Roman"/>
          <w:sz w:val="20"/>
        </w:rPr>
      </w:pPr>
      <w:r>
        <w:rPr>
          <w:rFonts w:ascii="Times New Roman" w:hAnsi="Times New Roman"/>
          <w:sz w:val="20"/>
        </w:rPr>
        <w:t xml:space="preserve">(c) with respect to any issuance or sale of Equity Interests by the Issuer or any of its Restricted Subsidiaries, the cash proceeds thereof, net of Taxes paid or payable by any Group Member in connection with such issuance or sale of Equity Interests (including Taxes payable upon the repatriation of any such proceeds to a Group Member), fees, commissions, costs and other expenses incurred in connection therewith; and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any Debt Issuance by the Issuer or any of its Restricted Subsidiaries, the cash proceeds thereof, net of Taxes paid or payable by any Group Member in connection with such Debt Issuance (including Taxes payable upon repatriation of the proceeds to a Group Member), fees, commissions, costs and other expenses incurred in connection therewith. </w:t>
      </w:r>
    </w:p>
    <w:p>
      <w:pPr>
        <w:pStyle w:val="TextBody"/>
        <w:bidi w:val="0"/>
        <w:spacing w:before="240" w:after="0"/>
        <w:jc w:val="left"/>
        <w:rPr/>
      </w:pPr>
      <w:r>
        <w:rPr/>
        <w:t>“</w:t>
      </w:r>
      <w:r>
        <w:rPr>
          <w:rFonts w:ascii="Times New Roman" w:hAnsi="Times New Roman"/>
          <w:b/>
          <w:sz w:val="20"/>
        </w:rPr>
        <w:t>Net Cash Proceeds Offer</w:t>
      </w:r>
      <w:r>
        <w:rPr>
          <w:rFonts w:ascii="Times New Roman" w:hAnsi="Times New Roman"/>
          <w:sz w:val="20"/>
        </w:rPr>
        <w:t xml:space="preserve">” has the meaning given to such term in </w:t>
      </w:r>
      <w:r>
        <w:rPr>
          <w:rFonts w:ascii="Times New Roman" w:hAnsi="Times New Roman"/>
          <w:sz w:val="20"/>
          <w:u w:val="single"/>
        </w:rPr>
        <w:t>Section 3.08(e)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Cash Proceeds Payment Date</w:t>
      </w:r>
      <w:r>
        <w:rPr>
          <w:rFonts w:ascii="Times New Roman" w:hAnsi="Times New Roman"/>
          <w:sz w:val="20"/>
        </w:rPr>
        <w:t xml:space="preserve">” has the meaning given to such term in </w:t>
      </w:r>
      <w:r>
        <w:rPr>
          <w:rFonts w:ascii="Times New Roman" w:hAnsi="Times New Roman"/>
          <w:sz w:val="20"/>
          <w:u w:val="single"/>
        </w:rPr>
        <w:t>Section 3.08(e)(i)(B)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Cash Proceeds Purchase Price</w:t>
      </w:r>
      <w:r>
        <w:rPr>
          <w:rFonts w:ascii="Times New Roman" w:hAnsi="Times New Roman"/>
          <w:sz w:val="20"/>
        </w:rPr>
        <w:t xml:space="preserve">” has the meaning given to such term in </w:t>
      </w:r>
      <w:r>
        <w:rPr>
          <w:rFonts w:ascii="Times New Roman" w:hAnsi="Times New Roman"/>
          <w:sz w:val="20"/>
          <w:u w:val="single"/>
        </w:rPr>
        <w:t>Section 3.08(e)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 Otherwise Applied</w:t>
      </w:r>
      <w:r>
        <w:rPr>
          <w:rFonts w:ascii="Times New Roman" w:hAnsi="Times New Roman"/>
          <w:sz w:val="20"/>
        </w:rPr>
        <w:t xml:space="preserve">” means, with reference to any amount of proceeds of any transaction or event, that such amount (a) was not required to be applied to repurchase the Notes pursuant to </w:t>
      </w:r>
      <w:r>
        <w:rPr>
          <w:rFonts w:ascii="Times New Roman" w:hAnsi="Times New Roman"/>
          <w:sz w:val="20"/>
          <w:u w:val="single"/>
        </w:rPr>
        <w:t>Section 3.08</w:t>
      </w:r>
      <w:r>
        <w:rPr>
          <w:rFonts w:ascii="Times New Roman" w:hAnsi="Times New Roman"/>
          <w:sz w:val="20"/>
        </w:rPr>
        <w:t xml:space="preserve">, (b) was not previously applied in determining the permissibility of a transaction under the Note Documents where such permissibility was contingent on receipt of such amount or utilization of such amount for a specified purpose, (c) in the case of Net Cash Proceeds from Eligible Equity Issuances or from Equity Cure Contributions, was not otherwise used for or in connection with (i) Investments made pursuant to </w:t>
      </w:r>
      <w:r>
        <w:rPr>
          <w:rFonts w:ascii="Times New Roman" w:hAnsi="Times New Roman"/>
          <w:sz w:val="20"/>
          <w:u w:val="single"/>
        </w:rPr>
        <w:t>Section 6.03(v)</w:t>
      </w:r>
      <w:r>
        <w:rPr>
          <w:rFonts w:ascii="Times New Roman" w:hAnsi="Times New Roman"/>
          <w:sz w:val="20"/>
        </w:rPr>
        <w:t xml:space="preserve"> or </w:t>
      </w:r>
      <w:r>
        <w:rPr>
          <w:rFonts w:ascii="Times New Roman" w:hAnsi="Times New Roman"/>
          <w:sz w:val="20"/>
          <w:u w:val="single"/>
        </w:rPr>
        <w:t>6.03(x)</w:t>
      </w:r>
      <w:r>
        <w:rPr>
          <w:rFonts w:ascii="Times New Roman" w:hAnsi="Times New Roman"/>
          <w:sz w:val="20"/>
        </w:rPr>
        <w:t xml:space="preserve">, (ii) Dividends made pursuant to </w:t>
      </w:r>
      <w:r>
        <w:rPr>
          <w:rFonts w:ascii="Times New Roman" w:hAnsi="Times New Roman"/>
          <w:sz w:val="20"/>
          <w:u w:val="single"/>
        </w:rPr>
        <w:t>Section 6.06(f)</w:t>
      </w:r>
      <w:r>
        <w:rPr>
          <w:rFonts w:ascii="Times New Roman" w:hAnsi="Times New Roman"/>
          <w:sz w:val="20"/>
        </w:rPr>
        <w:t xml:space="preserve">, (iii) prepayments of Indebtedness pursuant to </w:t>
      </w:r>
      <w:r>
        <w:rPr>
          <w:rFonts w:ascii="Times New Roman" w:hAnsi="Times New Roman"/>
          <w:sz w:val="20"/>
          <w:u w:val="single"/>
        </w:rPr>
        <w:t>Section 6.09(a)(i)</w:t>
      </w:r>
      <w:r>
        <w:rPr>
          <w:rFonts w:ascii="Times New Roman" w:hAnsi="Times New Roman"/>
          <w:sz w:val="20"/>
        </w:rPr>
        <w:t xml:space="preserve">, </w:t>
      </w:r>
      <w:r>
        <w:rPr>
          <w:rFonts w:ascii="Times New Roman" w:hAnsi="Times New Roman"/>
          <w:sz w:val="20"/>
          <w:u w:val="single"/>
        </w:rPr>
        <w:t>6.09(a)(ii)</w:t>
      </w:r>
      <w:r>
        <w:rPr>
          <w:rFonts w:ascii="Times New Roman" w:hAnsi="Times New Roman"/>
          <w:sz w:val="20"/>
        </w:rPr>
        <w:t xml:space="preserve"> or </w:t>
      </w:r>
      <w:r>
        <w:rPr>
          <w:rFonts w:ascii="Times New Roman" w:hAnsi="Times New Roman"/>
          <w:sz w:val="20"/>
          <w:u w:val="single"/>
        </w:rPr>
        <w:t>6.09(a)(vii)</w:t>
      </w:r>
      <w:r>
        <w:rPr>
          <w:rFonts w:ascii="Times New Roman" w:hAnsi="Times New Roman"/>
          <w:sz w:val="20"/>
        </w:rPr>
        <w:t xml:space="preserve"> or (iv) the inclusion thereof as an Equity Cure Contribution in the calculation of Consolidated EBITDA for purposes of determining compliance with Total Net Leverage Ratio, pursuant to </w:t>
      </w:r>
      <w:r>
        <w:rPr>
          <w:rFonts w:ascii="Times New Roman" w:hAnsi="Times New Roman"/>
          <w:sz w:val="20"/>
          <w:u w:val="single"/>
        </w:rPr>
        <w:t>Section 8.10(a)</w:t>
      </w:r>
      <w:r>
        <w:rPr>
          <w:rFonts w:ascii="Times New Roman" w:hAnsi="Times New Roman"/>
          <w:sz w:val="20"/>
        </w:rPr>
        <w:t xml:space="preserve"> and (d) was not previously applied to increase the Cumulative Amount pursuant to the definition thereof. </w:t>
      </w:r>
    </w:p>
    <w:p>
      <w:pPr>
        <w:pStyle w:val="TextBody"/>
        <w:bidi w:val="0"/>
        <w:spacing w:before="240" w:after="0"/>
        <w:jc w:val="left"/>
        <w:rPr/>
      </w:pPr>
      <w:r>
        <w:rPr/>
        <w:t>“</w:t>
      </w:r>
      <w:r>
        <w:rPr>
          <w:rFonts w:ascii="Times New Roman" w:hAnsi="Times New Roman"/>
          <w:b/>
          <w:sz w:val="20"/>
        </w:rPr>
        <w:t>Note Documents</w:t>
      </w:r>
      <w:r>
        <w:rPr>
          <w:rFonts w:ascii="Times New Roman" w:hAnsi="Times New Roman"/>
          <w:sz w:val="20"/>
        </w:rPr>
        <w:t xml:space="preserve">” means this Indenture, any amendments hereto, any Intercreditor Agreement, the Notes, the Security Documents, the Rights Offering Backstop Agreement, the Intercompany Note, the Securities Purchase Agreement and other intercreditor agreements and subordination agreements entered into pursuant to the terms hereof that any Note Party is party to and any other document designated as such by the Issuer, in each case as amended, amended and restated, restated, supplemented and/or modified from time to time. For the avoidance of doubt, the Warrants shall not be deemed to be Note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Note Parties</w:t>
      </w:r>
      <w:r>
        <w:rPr>
          <w:rFonts w:ascii="Times New Roman" w:hAnsi="Times New Roman"/>
          <w:sz w:val="20"/>
        </w:rPr>
        <w:t xml:space="preserve">” means the Issuer and the Guarantors; and </w:t>
      </w:r>
    </w:p>
    <w:p>
      <w:pPr>
        <w:pStyle w:val="TextBody"/>
        <w:bidi w:val="0"/>
        <w:spacing w:before="240" w:after="0"/>
        <w:jc w:val="left"/>
        <w:rPr/>
      </w:pPr>
      <w:r>
        <w:rPr/>
        <w:t>“</w:t>
      </w:r>
      <w:r>
        <w:rPr>
          <w:rFonts w:ascii="Times New Roman" w:hAnsi="Times New Roman"/>
          <w:b/>
          <w:sz w:val="20"/>
        </w:rPr>
        <w:t>Note Party</w:t>
      </w:r>
      <w:r>
        <w:rPr>
          <w:rFonts w:ascii="Times New Roman" w:hAnsi="Times New Roman"/>
          <w:sz w:val="20"/>
        </w:rPr>
        <w:t xml:space="preserve">” means any one of them. </w:t>
      </w:r>
    </w:p>
    <w:p>
      <w:pPr>
        <w:pStyle w:val="TextBody"/>
        <w:bidi w:val="0"/>
        <w:spacing w:before="240" w:after="0"/>
        <w:jc w:val="left"/>
        <w:rPr/>
      </w:pPr>
      <w:r>
        <w:rPr/>
        <w:t>“</w:t>
      </w:r>
      <w:r>
        <w:rPr>
          <w:rFonts w:ascii="Times New Roman" w:hAnsi="Times New Roman"/>
          <w:b/>
          <w:sz w:val="20"/>
        </w:rPr>
        <w:t>Note Register</w:t>
      </w:r>
      <w:r>
        <w:rPr>
          <w:rFonts w:ascii="Times New Roman" w:hAnsi="Times New Roman"/>
          <w:sz w:val="20"/>
        </w:rPr>
        <w:t xml:space="preserve">” has the meaning assigned to such term in Section 2.03(a).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means any Initial Note, PIK Note, or Additional Note, as the context may require. </w:t>
      </w:r>
    </w:p>
    <w:p>
      <w:pPr>
        <w:pStyle w:val="TextBody"/>
        <w:bidi w:val="0"/>
        <w:spacing w:before="240" w:after="0"/>
        <w:jc w:val="left"/>
        <w:rPr/>
      </w:pPr>
      <w:r>
        <w:rPr/>
        <w:t>“</w:t>
      </w:r>
      <w:r>
        <w:rPr>
          <w:rFonts w:ascii="Times New Roman" w:hAnsi="Times New Roman"/>
          <w:b/>
          <w:sz w:val="20"/>
        </w:rPr>
        <w:t>Notes Collateral Account</w:t>
      </w:r>
      <w:r>
        <w:rPr>
          <w:rFonts w:ascii="Times New Roman" w:hAnsi="Times New Roman"/>
          <w:sz w:val="20"/>
        </w:rPr>
        <w:t xml:space="preserve">” means one or more deposit accounts or securities accounts under the control of the Trustee or the Collateral Agent holding only the proceeds of any sale or disposition of any Notes Priority Collateral. </w:t>
      </w:r>
    </w:p>
    <w:p>
      <w:pPr>
        <w:pStyle w:val="TextBody"/>
        <w:bidi w:val="0"/>
        <w:spacing w:before="240" w:after="0"/>
        <w:jc w:val="left"/>
        <w:rPr/>
      </w:pPr>
      <w:r>
        <w:rPr/>
        <w:t>“</w:t>
      </w:r>
      <w:r>
        <w:rPr>
          <w:rFonts w:ascii="Times New Roman" w:hAnsi="Times New Roman"/>
          <w:b/>
          <w:sz w:val="20"/>
        </w:rPr>
        <w:t>Notes Priority Collateral</w:t>
      </w:r>
      <w:r>
        <w:rPr>
          <w:rFonts w:ascii="Times New Roman" w:hAnsi="Times New Roman"/>
          <w:sz w:val="20"/>
        </w:rPr>
        <w:t xml:space="preserve">” has the meaning assigned to the term “Notes Priority Collateral” in the ABL/Note Intercreditor Agreement. </w:t>
      </w:r>
    </w:p>
    <w:p>
      <w:pPr>
        <w:pStyle w:val="TextBody"/>
        <w:bidi w:val="0"/>
        <w:spacing w:before="240" w:after="0"/>
        <w:jc w:val="left"/>
        <w:rPr/>
      </w:pPr>
      <w:r>
        <w:rPr/>
        <w:t>“</w:t>
      </w:r>
      <w:r>
        <w:rPr>
          <w:rFonts w:ascii="Times New Roman" w:hAnsi="Times New Roman"/>
          <w:b/>
          <w:sz w:val="20"/>
        </w:rPr>
        <w:t>Notes Refinancing Indebtedness</w:t>
      </w:r>
      <w:r>
        <w:rPr>
          <w:rFonts w:ascii="Times New Roman" w:hAnsi="Times New Roman"/>
          <w:sz w:val="20"/>
        </w:rPr>
        <w:t>” means (a) Permitted Pari Passu Refinancing Debt, (b) Permitted Junior Refinancing Debt or (c) Permitted Unsecured Refinancing Debt, in each case, to redeem, refinance, replace, defease, discharge, refund, restate, substitute, modify, supplement or reissue or otherwise retire for value, in whole or in part, any Notes (“</w:t>
      </w:r>
      <w:r>
        <w:rPr>
          <w:rFonts w:ascii="Times New Roman" w:hAnsi="Times New Roman"/>
          <w:b/>
          <w:sz w:val="20"/>
        </w:rPr>
        <w:t>Refinanced Debt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 such extending, renewing or refinancing Indebtedness is in an original aggregate principal amount not greater than (A) the aggregate principal amount of the Refinanced Debt, </w:t>
      </w:r>
      <w:r>
        <w:rPr>
          <w:rFonts w:ascii="Times New Roman" w:hAnsi="Times New Roman"/>
          <w:i/>
          <w:sz w:val="20"/>
        </w:rPr>
        <w:t>plus</w:t>
      </w:r>
      <w:r>
        <w:rPr>
          <w:rFonts w:ascii="Times New Roman" w:hAnsi="Times New Roman"/>
          <w:sz w:val="20"/>
        </w:rPr>
        <w:t xml:space="preserve"> (B) accrued, capitalized and unpaid interest thereon, any fees, premiums, accrued interest associated therewith, or other reasonable amount paid, and fees, costs and expenses, commissions or underwriting discounts incurred in connection therewith, </w:t>
      </w:r>
      <w:r>
        <w:rPr>
          <w:rFonts w:ascii="Times New Roman" w:hAnsi="Times New Roman"/>
          <w:i/>
          <w:sz w:val="20"/>
        </w:rPr>
        <w:t>plus</w:t>
      </w:r>
      <w:r>
        <w:rPr>
          <w:rFonts w:ascii="Times New Roman" w:hAnsi="Times New Roman"/>
          <w:sz w:val="20"/>
        </w:rPr>
        <w:t xml:space="preserve"> (C) an amount equal to any existing commitments unutilized under such Refinanced Debt not established in contemplation of such refinancing, </w:t>
      </w:r>
      <w:r>
        <w:rPr>
          <w:rFonts w:ascii="Times New Roman" w:hAnsi="Times New Roman"/>
          <w:i/>
          <w:sz w:val="20"/>
        </w:rPr>
        <w:t>plus</w:t>
      </w:r>
      <w:r>
        <w:rPr>
          <w:rFonts w:ascii="Times New Roman" w:hAnsi="Times New Roman"/>
          <w:sz w:val="20"/>
        </w:rPr>
        <w:t xml:space="preserve"> (D) such additional amounts otherwise permitted to be incurred under the Note Documents (with a corresponding reduction in the amount of any basket or carve-out (to the extent capped) used pursuant to this </w:t>
      </w:r>
      <w:r>
        <w:rPr>
          <w:rFonts w:ascii="Times New Roman" w:hAnsi="Times New Roman"/>
          <w:sz w:val="20"/>
          <w:u w:val="single"/>
        </w:rPr>
        <w:t>clause (D)</w:t>
      </w:r>
      <w:r>
        <w:rPr>
          <w:rFonts w:ascii="Times New Roman" w:hAnsi="Times New Roman"/>
          <w:sz w:val="20"/>
        </w:rPr>
        <w:t xml:space="preserve">), (ii) the terms applicable to such Notes Refinancing Indebtedness comply with the Required Debt Terms and (iii) such Refinanced Debt (other than unasserted contingent indemnification or reimbursement obligations) shall be repaid, defeased or satisfied and discharged, and (unless otherwise agreed by all holders holding such Refinanced Debt) all accrued interest, fees and premiums (if any) in connection therewith shall be paid on the date such Notes Refinancing Indebtedness is issued, incurred or obtained. </w:t>
      </w:r>
    </w:p>
    <w:p>
      <w:pPr>
        <w:pStyle w:val="TextBody"/>
        <w:bidi w:val="0"/>
        <w:spacing w:before="240" w:after="0"/>
        <w:jc w:val="left"/>
        <w:rPr/>
      </w:pPr>
      <w:r>
        <w:rPr/>
        <w:t>“</w:t>
      </w:r>
      <w:r>
        <w:rPr>
          <w:rFonts w:ascii="Times New Roman" w:hAnsi="Times New Roman"/>
          <w:b/>
          <w:sz w:val="20"/>
        </w:rPr>
        <w:t>Notice of Intent to Cure</w:t>
      </w:r>
      <w:r>
        <w:rPr>
          <w:rFonts w:ascii="Times New Roman" w:hAnsi="Times New Roman"/>
          <w:sz w:val="20"/>
        </w:rPr>
        <w:t xml:space="preserve">” has the meaning assigned to such term in </w:t>
      </w:r>
      <w:r>
        <w:rPr>
          <w:rFonts w:ascii="Times New Roman" w:hAnsi="Times New Roman"/>
          <w:sz w:val="20"/>
          <w:u w:val="single"/>
        </w:rPr>
        <w:t>Section 8.10(a)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means obligations of the Issuer and the other Note Parties from time to time arising under or in respect of the due and punctual payment of (a) the principal of and premium, if any, and interest (including interest accruing during the pendency of any bankruptcy, insolvency, receivership or other similar proceeding, regardless of whether allowed or allowable in such proceeding) on the Notes, when and as due, whether at maturity, by acceleration, upon one or more dates set for redemption or otherwise and (b) all other monetary obligations, including fees, costs, expenses and indemnities, whether primary, secondary, direct, contingent, fixed or otherwise (including fees and other monetary obligations incurred during the pendency of any bankruptcy, insolvency, receivership or other similar proceeding, regardless of whether allowed or allowable in such proceeding), of the Issuer and the other Note Parties under this Indenture and the other Note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OFAC</w:t>
      </w:r>
      <w:r>
        <w:rPr>
          <w:rFonts w:ascii="Times New Roman" w:hAnsi="Times New Roman"/>
          <w:sz w:val="20"/>
        </w:rPr>
        <w:t xml:space="preserve">” means the U.S. Department of the Treasury, Office of Foreign Assets Control.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any of the following of the Issuer or any Guarantor: the Chairman of the Board of Directors; the Chief Executive Officer; the Chief Financial Officer; the President; any Vice President; the Treasurer; or the Secretary.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an Officer.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 written opinion from legal counsel acceptable to the Trustee. The counsel may be an employee of or counsel to the Issuer or the Trustee.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(a) in the case of any corporation, the certificate of incorporation and by-laws (or similar documents) of such person, (b) in the case of any limited liability company, the certificate of formation and operating agreement (or similar documents) of such person, (c) in the case of any limited partnership, the certificate of limited partnership and limited partnership agreement (or similar documents) of such person, (d) in the case of any general partnership, the partnership agreement (or similar document) of such person and (e) in any other case, the functional equivalent of the foregoing. </w:t>
      </w:r>
    </w:p>
    <w:p>
      <w:pPr>
        <w:pStyle w:val="TextBody"/>
        <w:bidi w:val="0"/>
        <w:spacing w:before="240" w:after="0"/>
        <w:jc w:val="left"/>
        <w:rPr/>
      </w:pPr>
      <w:r>
        <w:rPr/>
        <w:t>“</w:t>
      </w:r>
      <w:r>
        <w:rPr>
          <w:rFonts w:ascii="Times New Roman" w:hAnsi="Times New Roman"/>
          <w:b/>
          <w:sz w:val="20"/>
        </w:rPr>
        <w:t>Other Intercreditor Agreement</w:t>
      </w:r>
      <w:r>
        <w:rPr>
          <w:rFonts w:ascii="Times New Roman" w:hAnsi="Times New Roman"/>
          <w:sz w:val="20"/>
        </w:rPr>
        <w:t xml:space="preserve">” means any intercreditor agreement delivered by the Issuer in connection with any transaction requiring such agreement to be delivered pursuant to the terms hereof, or otherwise required to be delivered pursuant to the terms hereof, among the Trustee, the Collateral Agent and one or more other Senior Representatives of Indebtedness, or any other party, as the case may be, and acknowledged and agreed to by the Issuer and the Guarantors, in form reasonably satisfactory to the Trustee and the Issuer, in each case, as amended, restated, amended and restated, supplemented, renewed, replaced, refinanced or otherwise modified from time to time. </w:t>
      </w:r>
    </w:p>
    <w:p>
      <w:pPr>
        <w:pStyle w:val="TextBody"/>
        <w:bidi w:val="0"/>
        <w:spacing w:before="240" w:after="0"/>
        <w:jc w:val="left"/>
        <w:rPr/>
      </w:pPr>
      <w:r>
        <w:rPr/>
        <w:t>“</w:t>
      </w:r>
      <w:r>
        <w:rPr>
          <w:rFonts w:ascii="Times New Roman" w:hAnsi="Times New Roman"/>
          <w:b/>
          <w:sz w:val="20"/>
        </w:rPr>
        <w:t>Pari Passu ABL Lien Indebtedness</w:t>
      </w:r>
      <w:r>
        <w:rPr>
          <w:rFonts w:ascii="Times New Roman" w:hAnsi="Times New Roman"/>
          <w:sz w:val="20"/>
        </w:rPr>
        <w:t xml:space="preserve">” means any Indebtedness that is permitted to have Pari Passu Lien Priority relative to the ABL Obligations with respect to the Collateral and is not secured by any other assets; </w:t>
      </w:r>
      <w:r>
        <w:rPr>
          <w:rFonts w:ascii="Times New Roman" w:hAnsi="Times New Roman"/>
          <w:i/>
          <w:sz w:val="20"/>
        </w:rPr>
        <w:t xml:space="preserve">provided </w:t>
      </w:r>
      <w:r>
        <w:rPr>
          <w:rFonts w:ascii="Times New Roman" w:hAnsi="Times New Roman"/>
          <w:sz w:val="20"/>
        </w:rPr>
        <w:t xml:space="preserve">that, in each case, an authorized representative of the holders of such Indebtedness shall have executed a joinder to the Intercreditor Agreement in the form provided therein. </w:t>
      </w:r>
    </w:p>
    <w:p>
      <w:pPr>
        <w:pStyle w:val="TextBody"/>
        <w:bidi w:val="0"/>
        <w:spacing w:before="240" w:after="0"/>
        <w:jc w:val="left"/>
        <w:rPr/>
      </w:pPr>
      <w:r>
        <w:rPr/>
        <w:t>“</w:t>
      </w:r>
      <w:r>
        <w:rPr>
          <w:rFonts w:ascii="Times New Roman" w:hAnsi="Times New Roman"/>
          <w:b/>
          <w:sz w:val="20"/>
        </w:rPr>
        <w:t>Pari Passu Lien Priority</w:t>
      </w:r>
      <w:r>
        <w:rPr>
          <w:rFonts w:ascii="Times New Roman" w:hAnsi="Times New Roman"/>
          <w:sz w:val="20"/>
        </w:rPr>
        <w:t xml:space="preserve">” means relative to specified Indebtedness and other obligations having equal Lien priority to (a) the Notes and the Guarantees on the Collateral or (b) the ABL Credit Agreement on the Collateral. </w:t>
      </w:r>
    </w:p>
    <w:p>
      <w:pPr>
        <w:pStyle w:val="TextBody"/>
        <w:bidi w:val="0"/>
        <w:spacing w:before="240" w:after="0"/>
        <w:jc w:val="left"/>
        <w:rPr/>
      </w:pPr>
      <w:r>
        <w:rPr/>
        <w:t>“</w:t>
      </w:r>
      <w:r>
        <w:rPr>
          <w:rFonts w:ascii="Times New Roman" w:hAnsi="Times New Roman"/>
          <w:b/>
          <w:sz w:val="20"/>
        </w:rPr>
        <w:t>Pari Passu Notes Lien Indebtedness</w:t>
      </w:r>
      <w:r>
        <w:rPr>
          <w:rFonts w:ascii="Times New Roman" w:hAnsi="Times New Roman"/>
          <w:sz w:val="20"/>
        </w:rPr>
        <w:t xml:space="preserve">” means any Additional Notes and any other Indebtedness that has a stated maturity date that is equal to or later than the Maturity Date of the Notes and that is permitted to have Pari Passu Lien Priority relative to the Notes and the Guarantees with respect to the Collateral and is not secured by any other assets; </w:t>
      </w:r>
      <w:r>
        <w:rPr>
          <w:rFonts w:ascii="Times New Roman" w:hAnsi="Times New Roman"/>
          <w:i/>
          <w:sz w:val="20"/>
        </w:rPr>
        <w:t xml:space="preserve">provided </w:t>
      </w:r>
      <w:r>
        <w:rPr>
          <w:rFonts w:ascii="Times New Roman" w:hAnsi="Times New Roman"/>
          <w:sz w:val="20"/>
        </w:rPr>
        <w:t xml:space="preserve">that, in each case, an authorized representative of the holders of such Indebtedness (other than any Additional Notes) shall have executed a joinder to the Intercreditor Agreement in the form provided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Paying Agent</w:t>
      </w:r>
      <w:r>
        <w:rPr>
          <w:rFonts w:ascii="Times New Roman" w:hAnsi="Times New Roman"/>
          <w:sz w:val="20"/>
        </w:rPr>
        <w:t xml:space="preserve">” means any Person (including the Issuer or one of its Restricted Subsidiaries acting as Paying Agent) authorized by the Issuer to pay the principal of, premium, if any, or interest on any Notes on behalf of the Issuer.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referred to and defined in ERISA. </w:t>
      </w:r>
    </w:p>
    <w:p>
      <w:pPr>
        <w:pStyle w:val="TextBody"/>
        <w:bidi w:val="0"/>
        <w:spacing w:before="240" w:after="0"/>
        <w:jc w:val="left"/>
        <w:rPr/>
      </w:pPr>
      <w:r>
        <w:rPr/>
        <w:t>“</w:t>
      </w:r>
      <w:r>
        <w:rPr>
          <w:rFonts w:ascii="Times New Roman" w:hAnsi="Times New Roman"/>
          <w:b/>
          <w:sz w:val="20"/>
        </w:rPr>
        <w:t>Periodic Term SOFR Determination Day</w:t>
      </w:r>
      <w:r>
        <w:rPr>
          <w:rFonts w:ascii="Times New Roman" w:hAnsi="Times New Roman"/>
          <w:sz w:val="20"/>
        </w:rPr>
        <w:t xml:space="preserve">” has the meaning assigned to such term in the definition of “Term SOFR”. </w:t>
      </w:r>
    </w:p>
    <w:p>
      <w:pPr>
        <w:pStyle w:val="TextBody"/>
        <w:bidi w:val="0"/>
        <w:spacing w:before="240" w:after="0"/>
        <w:jc w:val="left"/>
        <w:rPr/>
      </w:pPr>
      <w:r>
        <w:rPr/>
        <w:t>“</w:t>
      </w:r>
      <w:r>
        <w:rPr>
          <w:rFonts w:ascii="Times New Roman" w:hAnsi="Times New Roman"/>
          <w:b/>
          <w:sz w:val="20"/>
        </w:rPr>
        <w:t>Permitted Acquisition</w:t>
      </w:r>
      <w:r>
        <w:rPr>
          <w:rFonts w:ascii="Times New Roman" w:hAnsi="Times New Roman"/>
          <w:sz w:val="20"/>
        </w:rPr>
        <w:t xml:space="preserve">” means any transaction or series of related transactions by the Issuer or any of its Restricted Subsidiaries for: (x) the direct or indirect acquisition of all or substantially all of the property of any Person, or of any assets constituting a line of business, business unit, division or product line (including research and development and related assets in respect of any product) of any Person; (y) the acquisition (including by merger or consolidation) of the Equity Interests (other than director qualifying shares) of any Person that becomes a Restricted Subsidiary after giving effect to such transaction; or (z) a merger or consolidation or any other combination with any Person (so long as any Note Party which is a party to such merger, consolidation or other combination (including for the avoidance of doubt, any such Person that becomes a Note Party upon the consummation of such merger, consolidation or other combination), is the surviving entity); </w:t>
      </w:r>
      <w:r>
        <w:rPr>
          <w:rFonts w:ascii="Times New Roman" w:hAnsi="Times New Roman"/>
          <w:i/>
          <w:sz w:val="20"/>
        </w:rPr>
        <w:t>provided</w:t>
      </w:r>
      <w:r>
        <w:rPr>
          <w:rFonts w:ascii="Times New Roman" w:hAnsi="Times New Roman"/>
          <w:sz w:val="20"/>
        </w:rPr>
        <w:t xml:space="preserve">, that, each of the following conditions shall be met or waived by the Controlling Parties: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Limited Condition Acquisitions, no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8.01(b)</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has occurred and is continuing immediately before giving pro forma effect to such acquisition and immediately after giving effect to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(b) immediately after giving effect to such transaction, Issuer and its Restricted Subsidiaries shall be in compliance with </w:t>
      </w:r>
      <w:r>
        <w:rPr>
          <w:rFonts w:ascii="Times New Roman" w:hAnsi="Times New Roman"/>
          <w:sz w:val="20"/>
          <w:u w:val="single"/>
        </w:rPr>
        <w:t>Section 6.11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1.06</w:t>
      </w:r>
      <w:r>
        <w:rPr>
          <w:rFonts w:ascii="Times New Roman" w:hAnsi="Times New Roman"/>
          <w:sz w:val="20"/>
        </w:rPr>
        <w:t xml:space="preserve">, other than with respect to Limited Condition Acquisitions (which, for the avoidance of doubt, are instead governed by </w:t>
      </w:r>
      <w:r>
        <w:rPr>
          <w:rFonts w:ascii="Times New Roman" w:hAnsi="Times New Roman"/>
          <w:sz w:val="20"/>
          <w:u w:val="single"/>
        </w:rPr>
        <w:t>clause (a)</w:t>
      </w:r>
      <w:r>
        <w:rPr>
          <w:rFonts w:ascii="Times New Roman" w:hAnsi="Times New Roman"/>
          <w:sz w:val="20"/>
        </w:rPr>
        <w:t xml:space="preserve"> of this definition), no Event of Default has occurred or is continuing immediately before such acquisition and immediately after giving effect to such acquisition; and </w:t>
      </w:r>
    </w:p>
    <w:p>
      <w:pPr>
        <w:pStyle w:val="TextBody"/>
        <w:bidi w:val="0"/>
        <w:spacing w:before="120" w:after="0"/>
        <w:jc w:val="left"/>
        <w:rPr>
          <w:rFonts w:ascii="Times New Roman" w:hAnsi="Times New Roman"/>
          <w:sz w:val="20"/>
        </w:rPr>
      </w:pPr>
      <w:r>
        <w:rPr>
          <w:rFonts w:ascii="Times New Roman" w:hAnsi="Times New Roman"/>
          <w:sz w:val="20"/>
        </w:rPr>
        <w:t xml:space="preserve">(d) the aggregate amount of Investments by Note Parties in assets (other than Equity Interests) that are not (or do not become at the time of such acquisition) directly owned by a Note Party or in Equity Interests of Persons that do not become Note Parties shall not exceed, as of the most recently ended Test Period, an amount equal to the lesser of [five percent (5%)] of Consolidated Total Assets and Consolidated EBITDA for such period (it being understood that any such Investments made prior to such period and still held by such Note Parties during such period shall count towards the aggregate cap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the immediately preceding sentence, an acquisition which does not otherwise meet the requirements set forth above in the definition of “Permitted Acquisition” shall constitute a Permitted Acquisition if, and to the extent, the Controlling Parties agree in writing, prior to the consummation thereof, that such acquisition shall constitute a Permitted Acquisition for purposes of this Indenture. </w:t>
      </w:r>
    </w:p>
    <w:p>
      <w:pPr>
        <w:pStyle w:val="TextBody"/>
        <w:bidi w:val="0"/>
        <w:spacing w:before="240" w:after="0"/>
        <w:jc w:val="left"/>
        <w:rPr/>
      </w:pPr>
      <w:r>
        <w:rPr/>
        <w:t>“</w:t>
      </w:r>
      <w:r>
        <w:rPr>
          <w:rFonts w:ascii="Times New Roman" w:hAnsi="Times New Roman"/>
          <w:b/>
          <w:sz w:val="20"/>
        </w:rPr>
        <w:t>Permitted Additional Debt</w:t>
      </w:r>
      <w:r>
        <w:rPr>
          <w:rFonts w:ascii="Times New Roman" w:hAnsi="Times New Roman"/>
          <w:sz w:val="20"/>
        </w:rPr>
        <w:t xml:space="preserve">” means Indebtedness issued, incurred or otherwise obtained by the Issuer (which may be guaranteed by any other Note Party) in respect of one or more series of senior unsecured notes, senior notes secured on a basis </w:t>
      </w:r>
      <w:r>
        <w:rPr>
          <w:rFonts w:ascii="Times New Roman" w:hAnsi="Times New Roman"/>
          <w:i/>
          <w:sz w:val="20"/>
        </w:rPr>
        <w:t>pari passu</w:t>
      </w:r>
      <w:r>
        <w:rPr>
          <w:rFonts w:ascii="Times New Roman" w:hAnsi="Times New Roman"/>
          <w:sz w:val="20"/>
        </w:rPr>
        <w:t xml:space="preserve"> with or junior to the Obligations, or subordinated notes (in each case issued in a public offering or a Rule 144A or other private placement or a bridge financing in lieu of the foregoing (and any Registered Equivalent Notes issued in exchange therefor)), loans that are secured on a basis </w:t>
      </w:r>
      <w:r>
        <w:rPr>
          <w:rFonts w:ascii="Times New Roman" w:hAnsi="Times New Roman"/>
          <w:i/>
          <w:sz w:val="20"/>
        </w:rPr>
        <w:t>pari passu</w:t>
      </w:r>
      <w:r>
        <w:rPr>
          <w:rFonts w:ascii="Times New Roman" w:hAnsi="Times New Roman"/>
          <w:sz w:val="20"/>
        </w:rPr>
        <w:t xml:space="preserve"> with or junior to the Obligations or loans that are unsecured, or notes or loans constituting secured or unsecured mezzanine Indebtedness, in each case excluding Additional Notes; </w:t>
      </w:r>
      <w:r>
        <w:rPr>
          <w:rFonts w:ascii="Times New Roman" w:hAnsi="Times New Roman"/>
          <w:i/>
          <w:sz w:val="20"/>
        </w:rPr>
        <w:t>provided</w:t>
      </w:r>
      <w:r>
        <w:rPr>
          <w:rFonts w:ascii="Times New Roman" w:hAnsi="Times New Roman"/>
          <w:sz w:val="20"/>
        </w:rPr>
        <w:t xml:space="preserve">, that, (a) the aggregate principal amount of all Permitted Additional Debt, together with any Pari Passu Notes Lien Indebtedness, at the time of issuance or incurrence shall not exceed (1) for the period having commenced on the Closing Date and ended on March 12, 2026, the Specified Additional Debt Cap and (2) thereafter, an amount equal to the unutilized portion of the Maximum Additional Debt Amount (it being understood and agreed that any Permitted Additional Debt incurred in reliance on clause (1) above shall not reduce the Maximum Additional Debt Amount), (b) the terms applicable to such Permitted Additional Debt shall comply with the Required Debt Terms, (c) subject to </w:t>
      </w:r>
      <w:r>
        <w:rPr>
          <w:rFonts w:ascii="Times New Roman" w:hAnsi="Times New Roman"/>
          <w:sz w:val="20"/>
          <w:u w:val="single"/>
        </w:rPr>
        <w:t>Section 1.06</w:t>
      </w:r>
      <w:r>
        <w:rPr>
          <w:rFonts w:ascii="Times New Roman" w:hAnsi="Times New Roman"/>
          <w:sz w:val="20"/>
        </w:rPr>
        <w:t xml:space="preserve">, no Event of Default shall have occurred and be continuing at the time of such issuance or incurrence or immediately after giving effect thereto, except that in the case of Permitted Additional Debt incurred in connection with a Limited Condition Acquisition, (x) no Event of Default shall have occurred and be continuing or would immediately result therefrom at the time the definitive purchase agreement for such acquisition is entered into and (y) no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8.01(b)</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shall have occurred and be continuing at the time of such issuance or incurrence or immediately after giving effect thereto at the time such acquisition is consummated, (d) with respect to any Permitted Additional Debt secured on a basis </w:t>
      </w:r>
      <w:r>
        <w:rPr>
          <w:rFonts w:ascii="Times New Roman" w:hAnsi="Times New Roman"/>
          <w:i/>
          <w:sz w:val="20"/>
        </w:rPr>
        <w:t>pari passu</w:t>
      </w:r>
      <w:r>
        <w:rPr>
          <w:rFonts w:ascii="Times New Roman" w:hAnsi="Times New Roman"/>
          <w:sz w:val="20"/>
        </w:rPr>
        <w:t xml:space="preserve"> with the Obligations, (1) for the period having commenced on the Closing Date and ended on March 12, 2026, on a Pro Forma Basis immediately after giving effect to each such incurrence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the Total Net Leverage Ratio as of the Applicable Date of Determination and for the applicable Test Period is not greater than the Total Net Leverage Ratio immediately prior to the incurrence of such Permitted Additional Debt and (2) thereafter, on a Pro Forma Basis immediately after giving effect to each such incurrence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the Total Net Leverage Ratio as of the Applicable Date of Determination and for the applicable Test Period is not greater than 3.00:1.00 and (e) the opportunity to commit to provide any Permitted Additional Debt shall be offered by the Issuer first to each of the existing Holders on a </w:t>
      </w:r>
      <w:r>
        <w:rPr>
          <w:rFonts w:ascii="Times New Roman" w:hAnsi="Times New Roman"/>
          <w:i/>
          <w:sz w:val="20"/>
        </w:rPr>
        <w:t>pro rata</w:t>
      </w:r>
      <w:r>
        <w:rPr>
          <w:rFonts w:ascii="Times New Roman" w:hAnsi="Times New Roman"/>
          <w:sz w:val="20"/>
        </w:rPr>
        <w:t xml:space="preserve"> basis based on their holdings of then issued Notes and, to the extent that any existing Holder has not agreed or declared its willingness in writing to provide such Permitted Additional Debt within ten (10) Business Days after receiving such offer from the Issuer, on the terms specified by the Issuer or any arranger of such Permitted Additional Debt, after being provided a bona fide opportunity to do so, the Issuer may then offer such opportunity to provide that portion of such Permitted Additional Debt to any other Person (which may include existing Holders) (it being understood that any existing Holder approached to provide all or a portion of such Permitted Additional Debt may elect or decline, in its sole discretion, to provide such Permitted Additional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Cure Securities</w:t>
      </w:r>
      <w:r>
        <w:rPr>
          <w:rFonts w:ascii="Times New Roman" w:hAnsi="Times New Roman"/>
          <w:sz w:val="20"/>
        </w:rPr>
        <w:t xml:space="preserve">” means any Equity Interests (other than Disqualified Capital Stock), including, without limitation, any Rights Offering and any Common Stock issued pursuant to any at-the-market offering program, the proceeds of which are utilized in connection with an Equity Cure Contribution pursuant to </w:t>
      </w:r>
      <w:r>
        <w:rPr>
          <w:rFonts w:ascii="Times New Roman" w:hAnsi="Times New Roman"/>
          <w:sz w:val="20"/>
          <w:u w:val="single"/>
        </w:rPr>
        <w:t>Section 8.10(a)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Holders</w:t>
      </w:r>
      <w:r>
        <w:rPr>
          <w:rFonts w:ascii="Times New Roman" w:hAnsi="Times New Roman"/>
          <w:sz w:val="20"/>
        </w:rPr>
        <w:t xml:space="preserve">” means (1) any of the Investors and Management Stockholders and any “group” (within the meaning of Section 13(d)(3) or Section 14(d)(2) of the Exchange Act) of which any of the foregoing are members and (2) any Person acting in the capacity of an underwriter (solely to the extent that and for so long as such Person is acting in such capacity) in connection with a public or private offering of the Equity Interests of the Issuer. </w:t>
      </w:r>
    </w:p>
    <w:p>
      <w:pPr>
        <w:pStyle w:val="TextBody"/>
        <w:bidi w:val="0"/>
        <w:spacing w:before="240" w:after="0"/>
        <w:jc w:val="left"/>
        <w:rPr/>
      </w:pPr>
      <w:r>
        <w:rPr/>
        <w:t>“</w:t>
      </w:r>
      <w:r>
        <w:rPr>
          <w:rFonts w:ascii="Times New Roman" w:hAnsi="Times New Roman"/>
          <w:b/>
          <w:sz w:val="20"/>
        </w:rPr>
        <w:t>Permitted Junior Refinancing Debt</w:t>
      </w:r>
      <w:r>
        <w:rPr>
          <w:rFonts w:ascii="Times New Roman" w:hAnsi="Times New Roman"/>
          <w:sz w:val="20"/>
        </w:rPr>
        <w:t xml:space="preserve">” means secured Indebtedness incurred by the Issuer and guarantees with respect thereto by any Note Party; </w:t>
      </w:r>
      <w:r>
        <w:rPr>
          <w:rFonts w:ascii="Times New Roman" w:hAnsi="Times New Roman"/>
          <w:i/>
          <w:sz w:val="20"/>
        </w:rPr>
        <w:t>provided</w:t>
      </w:r>
      <w:r>
        <w:rPr>
          <w:rFonts w:ascii="Times New Roman" w:hAnsi="Times New Roman"/>
          <w:sz w:val="20"/>
        </w:rPr>
        <w:t xml:space="preserve">, that, (a) such Indebtedness is secured by the Collateral on a junior basis to the Obligations and the obligations in respect of any Permitted Pari Passu Refinancing Debt, in each case pursuant to an Other Intercreditor Agreement, and is not secured by any property or assets of Issuer or any of its Restricted Subsidiaries other than the Collateral, (b) such Indebtedness constitutes Notes Refinancing Indebtedness in respect of Notes, and (c) a Senior Representative validly acting on behalf of the holders of such Indebtedness shall have become party to the ABL/Note Intercreditor Agreement and an Other Intercreditor Agreement.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shall have the meaning assigned to such term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Pari Passu Refinancing Debt</w:t>
      </w:r>
      <w:r>
        <w:rPr>
          <w:rFonts w:ascii="Times New Roman" w:hAnsi="Times New Roman"/>
          <w:sz w:val="20"/>
        </w:rPr>
        <w:t xml:space="preserve">” means any secured Indebtedness incurred by the Issuer and guarantees with respect thereto by any Note Party; </w:t>
      </w:r>
      <w:r>
        <w:rPr>
          <w:rFonts w:ascii="Times New Roman" w:hAnsi="Times New Roman"/>
          <w:i/>
          <w:sz w:val="20"/>
        </w:rPr>
        <w:t>provided</w:t>
      </w:r>
      <w:r>
        <w:rPr>
          <w:rFonts w:ascii="Times New Roman" w:hAnsi="Times New Roman"/>
          <w:sz w:val="20"/>
        </w:rPr>
        <w:t xml:space="preserve">, that, (a) such Indebtedness is secured by the Collateral on a </w:t>
      </w:r>
      <w:r>
        <w:rPr>
          <w:rFonts w:ascii="Times New Roman" w:hAnsi="Times New Roman"/>
          <w:i/>
          <w:sz w:val="20"/>
        </w:rPr>
        <w:t>pari passu</w:t>
      </w:r>
      <w:r>
        <w:rPr>
          <w:rFonts w:ascii="Times New Roman" w:hAnsi="Times New Roman"/>
          <w:sz w:val="20"/>
        </w:rPr>
        <w:t xml:space="preserve"> basis (but without regard to the control of remedies) with the Obligations and is not secured by any property or assets of Issuer or any of its Restricted Subsidiaries other than the Collateral, (b) such Indebtedness constitutes Notes Refinancing Indebtedness in respect of Notes and (c) a Senior Representative validly acting on behalf of the holders of such Indebtedness shall have become party to an Other Intercreditor Agreement and the ABL/Note Intercreditor Agreement. </w:t>
      </w:r>
    </w:p>
    <w:p>
      <w:pPr>
        <w:pStyle w:val="TextBody"/>
        <w:bidi w:val="0"/>
        <w:spacing w:before="240" w:after="0"/>
        <w:jc w:val="left"/>
        <w:rPr/>
      </w:pPr>
      <w:r>
        <w:rPr/>
        <w:t>“</w:t>
      </w:r>
      <w:r>
        <w:rPr>
          <w:rFonts w:ascii="Times New Roman" w:hAnsi="Times New Roman"/>
          <w:b/>
          <w:sz w:val="20"/>
        </w:rPr>
        <w:t>Permitted Refinancing</w:t>
      </w:r>
      <w:r>
        <w:rPr>
          <w:rFonts w:ascii="Times New Roman" w:hAnsi="Times New Roman"/>
          <w:sz w:val="20"/>
        </w:rPr>
        <w:t xml:space="preserve">” means, with respect to any Person, any modification, refinancing, refunding, renewal, replacement or extension of any Indebtedness of such Person; </w:t>
      </w:r>
      <w:r>
        <w:rPr>
          <w:rFonts w:ascii="Times New Roman" w:hAnsi="Times New Roman"/>
          <w:i/>
          <w:sz w:val="20"/>
        </w:rPr>
        <w:t>provided</w:t>
      </w:r>
      <w:r>
        <w:rPr>
          <w:rFonts w:ascii="Times New Roman" w:hAnsi="Times New Roman"/>
          <w:sz w:val="20"/>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w:t>
      </w:r>
      <w:r>
        <w:rPr>
          <w:rFonts w:ascii="Times New Roman" w:hAnsi="Times New Roman"/>
          <w:i/>
          <w:sz w:val="20"/>
        </w:rPr>
        <w:t>plus</w:t>
      </w:r>
      <w:r>
        <w:rPr>
          <w:rFonts w:ascii="Times New Roman" w:hAnsi="Times New Roman"/>
          <w:sz w:val="20"/>
        </w:rPr>
        <w:t xml:space="preserve"> other amounts paid, and fees, expenses, commissions, original issue discount, underwriting discounts and expenses incurred, in connection with such modification, refinancing, refunding, renewal, replacement or extension, and by an amount equal to any existing commitments unutilized thereunder, (b) other than with respect to a Permitted Refinancing of Indebtedness permitted pursuant to </w:t>
      </w:r>
      <w:r>
        <w:rPr>
          <w:rFonts w:ascii="Times New Roman" w:hAnsi="Times New Roman"/>
          <w:sz w:val="20"/>
          <w:u w:val="single"/>
        </w:rPr>
        <w:t>Section 6.01(e)</w:t>
      </w:r>
      <w:r>
        <w:rPr>
          <w:rFonts w:ascii="Times New Roman" w:hAnsi="Times New Roman"/>
          <w:sz w:val="20"/>
        </w:rPr>
        <w:t xml:space="preserve">, such modification, refinancing, refunding,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of Indebtedness permitted pursuant to </w:t>
      </w:r>
      <w:r>
        <w:rPr>
          <w:rFonts w:ascii="Times New Roman" w:hAnsi="Times New Roman"/>
          <w:sz w:val="20"/>
          <w:u w:val="single"/>
        </w:rPr>
        <w:t>Section 6.01(e)</w:t>
      </w:r>
      <w:r>
        <w:rPr>
          <w:rFonts w:ascii="Times New Roman" w:hAnsi="Times New Roman"/>
          <w:sz w:val="20"/>
        </w:rPr>
        <w:t xml:space="preserve">, at the time thereof, no Event of Default shall have occurred and be continuing,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(as reasonably determined by the Issuer) to the Holders in all material respects as those contained in the documentation governing the subordination of the Indebtedness being modified, refinanced, refunded, renewed, replaced or extended, (e) none of Issuer or any of its Restricted Subsidiaries shall be an obligor or guarantor of any such refinancings, replacements, refundings, renewals, replacements or extensions except to the extent that such Person was such an obligor or guarantor in respect of the applicable Indebtedness being modified, refinanced, refunded, renewed, replaced or extended, (f) such modification, refinancing, refunding, renewal, replacement or extension shall not be secured by any Lien on any asset other than the assets that secured such Indebtedness being modified, refinanced, refunded, renewed, replaced or extended and (g) such modification, refinancing, refunding, renewal, replacement or extension shall not (if secured) have a higher Lien priority than such Indebtedness being modified, refinanced, refunded, renewed, replaced or extended. </w:t>
      </w:r>
    </w:p>
    <w:p>
      <w:pPr>
        <w:pStyle w:val="TextBody"/>
        <w:bidi w:val="0"/>
        <w:spacing w:before="240" w:after="0"/>
        <w:jc w:val="left"/>
        <w:rPr/>
      </w:pPr>
      <w:r>
        <w:rPr/>
        <w:t>“</w:t>
      </w:r>
      <w:r>
        <w:rPr>
          <w:rFonts w:ascii="Times New Roman" w:hAnsi="Times New Roman"/>
          <w:b/>
          <w:sz w:val="20"/>
        </w:rPr>
        <w:t>Permitted Unsecured Refinancing Debt</w:t>
      </w:r>
      <w:r>
        <w:rPr>
          <w:rFonts w:ascii="Times New Roman" w:hAnsi="Times New Roman"/>
          <w:sz w:val="20"/>
        </w:rPr>
        <w:t xml:space="preserve">” means unsecured Indebtedness incurred by the Issuer and guarantees with respect thereto by any other Note Party; </w:t>
      </w:r>
      <w:r>
        <w:rPr>
          <w:rFonts w:ascii="Times New Roman" w:hAnsi="Times New Roman"/>
          <w:i/>
          <w:sz w:val="20"/>
        </w:rPr>
        <w:t>provided</w:t>
      </w:r>
      <w:r>
        <w:rPr>
          <w:rFonts w:ascii="Times New Roman" w:hAnsi="Times New Roman"/>
          <w:sz w:val="20"/>
        </w:rPr>
        <w:t xml:space="preserve">, that, such Indebtedness constitutes Notes Refinancing Indebtedness in respect of Notes.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or “</w:t>
      </w:r>
      <w:r>
        <w:rPr>
          <w:rFonts w:ascii="Times New Roman" w:hAnsi="Times New Roman"/>
          <w:b/>
          <w:sz w:val="20"/>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b/>
          <w:sz w:val="20"/>
        </w:rPr>
        <w:t>PIK Election</w:t>
      </w:r>
      <w:r>
        <w:rPr>
          <w:rFonts w:ascii="Times New Roman" w:hAnsi="Times New Roman"/>
          <w:sz w:val="20"/>
        </w:rPr>
        <w:t xml:space="preserve">” has the meaning assigned to such term in </w:t>
      </w:r>
      <w:r>
        <w:rPr>
          <w:rFonts w:ascii="Times New Roman" w:hAnsi="Times New Roman"/>
          <w:sz w:val="20"/>
          <w:u w:val="single"/>
        </w:rPr>
        <w:t>Section 2.13(g)(i)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PIK Interest</w:t>
      </w:r>
      <w:r>
        <w:rPr>
          <w:rFonts w:ascii="Times New Roman" w:hAnsi="Times New Roman"/>
          <w:sz w:val="20"/>
        </w:rPr>
        <w:t xml:space="preserve">” has the meaning assigned to such term in </w:t>
      </w:r>
      <w:r>
        <w:rPr>
          <w:rFonts w:ascii="Times New Roman" w:hAnsi="Times New Roman"/>
          <w:sz w:val="20"/>
          <w:u w:val="single"/>
        </w:rPr>
        <w:t>Section 2.13(g)(i)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PIK Interest Election Notice</w:t>
      </w:r>
      <w:r>
        <w:rPr>
          <w:rFonts w:ascii="Times New Roman" w:hAnsi="Times New Roman"/>
          <w:sz w:val="20"/>
        </w:rPr>
        <w:t xml:space="preserve">” has the meaning assigned to such term in </w:t>
      </w:r>
      <w:r>
        <w:rPr>
          <w:rFonts w:ascii="Times New Roman" w:hAnsi="Times New Roman"/>
          <w:sz w:val="20"/>
          <w:u w:val="single"/>
        </w:rPr>
        <w:t>Section 2.13(g)(i)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PIK Notes</w:t>
      </w:r>
      <w:r>
        <w:rPr>
          <w:rFonts w:ascii="Times New Roman" w:hAnsi="Times New Roman"/>
          <w:sz w:val="20"/>
        </w:rPr>
        <w:t xml:space="preserve">” has the meaning assigned to such term in </w:t>
      </w:r>
      <w:r>
        <w:rPr>
          <w:rFonts w:ascii="Times New Roman" w:hAnsi="Times New Roman"/>
          <w:sz w:val="20"/>
          <w:u w:val="single"/>
        </w:rPr>
        <w:t>Section 2.01(h)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Plan</w:t>
      </w:r>
      <w:r>
        <w:rPr>
          <w:rFonts w:ascii="Times New Roman" w:hAnsi="Times New Roman"/>
          <w:sz w:val="20"/>
        </w:rPr>
        <w:t xml:space="preserve">” means any “employee pension benefit plan” (as such term is defined in Section 3(2) of ERISA) (other than a Multiemployer Plan) subject to the provisions of Title IV of ERISA or Section 412 or 430 of the Code or Section 302 of ERISA which is maintained or contributed to by any Group Member or with respect to which any Group Member has any liability (including on account of an ERISA Affiliate). </w:t>
      </w:r>
    </w:p>
    <w:p>
      <w:pPr>
        <w:pStyle w:val="TextBody"/>
        <w:bidi w:val="0"/>
        <w:spacing w:before="240" w:after="0"/>
        <w:jc w:val="left"/>
        <w:rPr/>
      </w:pPr>
      <w:r>
        <w:rPr/>
        <w:t>“</w:t>
      </w:r>
      <w:r>
        <w:rPr>
          <w:rFonts w:ascii="Times New Roman" w:hAnsi="Times New Roman"/>
          <w:b/>
          <w:sz w:val="20"/>
        </w:rPr>
        <w:t>Prior Notes</w:t>
      </w:r>
      <w:r>
        <w:rPr>
          <w:rFonts w:ascii="Times New Roman" w:hAnsi="Times New Roman"/>
          <w:sz w:val="20"/>
        </w:rPr>
        <w:t xml:space="preserve">” has the meaning assigned to such term in the recitals hereto. </w:t>
      </w:r>
    </w:p>
    <w:p>
      <w:pPr>
        <w:pStyle w:val="TextBody"/>
        <w:bidi w:val="0"/>
        <w:spacing w:before="240" w:after="0"/>
        <w:jc w:val="left"/>
        <w:rPr/>
      </w:pPr>
      <w:r>
        <w:rPr/>
        <w:t>“</w:t>
      </w:r>
      <w:r>
        <w:rPr>
          <w:rFonts w:ascii="Times New Roman" w:hAnsi="Times New Roman"/>
          <w:b/>
          <w:sz w:val="20"/>
        </w:rPr>
        <w:t>Prior Notes Indenture</w:t>
      </w:r>
      <w:r>
        <w:rPr>
          <w:rFonts w:ascii="Times New Roman" w:hAnsi="Times New Roman"/>
          <w:sz w:val="20"/>
        </w:rPr>
        <w:t xml:space="preserve">” has the meaning set forth in the recitals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Pro Forma Basis</w:t>
      </w:r>
      <w:r>
        <w:rPr>
          <w:rFonts w:ascii="Times New Roman" w:hAnsi="Times New Roman"/>
          <w:sz w:val="20"/>
        </w:rPr>
        <w:t xml:space="preserve">” means, with respect to the calculation of all financial ratios and tests (including the Total Net Leverage Ratio and the amount of Consolidated Total Assets and Consolidated EBITDA) contained in this Indenture other than for purposes of calculating Excess Cash Flow, in each case as of any date, that such calculation shall give pro forma effect to the Transactions and all Subject Transactions (and the application of the proceeds from any such asset sale or debt incurrence) that have occurred during the relevant testing period for which such financial test or ratio is being calculated and during the period immediately following such period and prior to or substantially concurrently with the event for which the calculation of any such ratio is made, including pro forma adjustments arising out of events which are attributable to the Transactions, the proposed Subject Transaction and all other Subject Transactions that have been consummated during the relevant period, including giving effect to those specified in accordance with the definition of “Consolidated EBITDA,” in each case as certified on behalf of Issuer by a Financial Officer of Issuer, using, for purposes of determining such compliance with a financial test or ratio (including any incurrence test), the historical financial statements of all entities, divisions or lines or assets so acquired or sold and the consolidated financial statements of Issuer and/or any of its Restricted Subsidiaries, calculated as if the Transactions or such Subject Transaction, and all other Subject Transactions that have been consummated during the relevant period, and any Indebtedness incurred or repaid in connection therewith, had been consummated (and the change in Consolidated EBITDA resulting therefrom) and incurred or repaid at the beginning of such period, and Consolidated Total Assets shall be calculated after giving effect thereto. </w:t>
      </w:r>
    </w:p>
    <w:p>
      <w:pPr>
        <w:pStyle w:val="TextBody"/>
        <w:bidi w:val="0"/>
        <w:spacing w:before="240" w:after="0"/>
        <w:jc w:val="left"/>
        <w:rPr>
          <w:rFonts w:ascii="Times New Roman" w:hAnsi="Times New Roman"/>
          <w:sz w:val="20"/>
        </w:rPr>
      </w:pPr>
      <w:r>
        <w:rPr>
          <w:rFonts w:ascii="Times New Roman" w:hAnsi="Times New Roman"/>
          <w:sz w:val="20"/>
        </w:rPr>
        <w:t xml:space="preserve">Whenever pro forma effect is to be given to the Transactions or a Subject Transaction, the pro forma calculations shall be made in good faith by a Financial Officer of Issuer (as set forth in a certificate of such Financial Officer delivered to the Trustee) (including adjustments for costs and charges arising out of the Transactions, the proposed Subject Transaction and all other Subject Transactions that have been consummated during the relevant period, and the “run-rate” cost savings and synergies resulting from the Transactions or such Subject Transaction(s) that have been or are reasonably anticipated to be realizable (“run-rate” means the full recurring benefit for a test period that is associated with any action taken or expected to be taken (including any savings expected to result from the elimination of a public target’s compliance costs with public company requirements), net of the amount of actual benefits realized during such test period from such actions), and any such adjustments included in the initial pro forma calculations shall continue to apply to subsequent calculations of such financial ratios or tests, including during any subsequent test periods in which the effects thereof are expected to be realizable); </w:t>
      </w:r>
      <w:r>
        <w:rPr>
          <w:rFonts w:ascii="Times New Roman" w:hAnsi="Times New Roman"/>
          <w:i/>
          <w:sz w:val="20"/>
        </w:rPr>
        <w:t>provided</w:t>
      </w:r>
      <w:r>
        <w:rPr>
          <w:rFonts w:ascii="Times New Roman" w:hAnsi="Times New Roman"/>
          <w:sz w:val="20"/>
        </w:rPr>
        <w:t xml:space="preserve">, that, (a) such amounts are factually supportable and reasonably identifiable and are projected by the Issuer in good faith to be realizable within twelve (12) months after the end of the test period in which the Transactions or the applicable Subject Transaction occurred, (b) no amounts shall be added pursuant to this paragraph to the extent duplicative of any amounts that are otherwise added back in computing Consolidated EBITDA for such test period and (c) the provisions of this paragraph shall in no way limit the add-backs that may be made to Consolidated EBITDA pursuant to the definition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Indebtedness bears a floating rate of interest and is being given pro forma effect, the interest on such Indebtedness shall be calculated as if the rate in effect on the applicable date of determination for the event for which the calculation is made had been the applicable rate for the entire test period (taking into account any interest hedging arrangements applicable to such Indebtedness). Interest on a Capital Lease Obligation shall be deemed to accrue at an interest rate reasonably determined by a Financial Officer of Issuer to be the rate of interest implicit in such Capital Lease Obligation in accordance with GAAP. Interest on Indebtedness that may optionally be determined at an interest rate based upon a factor of a prime or similar rate or other rate, shall be determined to have been based upon the rate actually chosen, or if none, then based upon such optional rate as the Issuer may designate.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or “</w:t>
      </w:r>
      <w:r>
        <w:rPr>
          <w:rFonts w:ascii="Times New Roman" w:hAnsi="Times New Roman"/>
          <w:b/>
          <w:sz w:val="20"/>
        </w:rPr>
        <w:t>property</w:t>
      </w:r>
      <w:r>
        <w:rPr>
          <w:rFonts w:ascii="Times New Roman" w:hAnsi="Times New Roman"/>
          <w:sz w:val="20"/>
        </w:rPr>
        <w:t xml:space="preserve">” means any right, title or interest in or to property or assets of any kind whatsoever, whether real, personal or mixed and whether tangible or intangible and including Equity Interests or other ownership interests of any person and whether now in existence or owned or hereafter entered into or acquired, including all Real Property. </w:t>
      </w:r>
    </w:p>
    <w:p>
      <w:pPr>
        <w:pStyle w:val="TextBody"/>
        <w:bidi w:val="0"/>
        <w:spacing w:before="240" w:after="0"/>
        <w:jc w:val="left"/>
        <w:rPr/>
      </w:pPr>
      <w:r>
        <w:rPr/>
        <w:t>“</w:t>
      </w:r>
      <w:r>
        <w:rPr>
          <w:rFonts w:ascii="Times New Roman" w:hAnsi="Times New Roman"/>
          <w:b/>
          <w:sz w:val="20"/>
        </w:rPr>
        <w:t>Public Company Costs</w:t>
      </w:r>
      <w:r>
        <w:rPr>
          <w:rFonts w:ascii="Times New Roman" w:hAnsi="Times New Roman"/>
          <w:sz w:val="20"/>
        </w:rPr>
        <w:t xml:space="preserve">” means any costs, fees and expenses associated with, in anticipation of, or in preparation for, compliance with the requirements of the Sarbanes-Oxley Act of 2002 and the rules and regulations promulgated in connection therewith and costs, fees and expenses relating to compliance with the provisions of the Securities Act and the Exchange Act (as applicable to companies with equity or debt securities held by the public), the rules of national securities exchanges for companies with listed equity or debt securities, directors’ or managers’ compensation, fees and expense reimbursements, charges relating to investor relations, shareholder meetings and reports to shareholders and debtholders, directors’ and officers’ insurance and other executive costs, legal and other professional fees and listing fees. </w:t>
      </w:r>
    </w:p>
    <w:p>
      <w:pPr>
        <w:pStyle w:val="TextBody"/>
        <w:bidi w:val="0"/>
        <w:spacing w:before="240" w:after="0"/>
        <w:jc w:val="left"/>
        <w:rPr/>
      </w:pPr>
      <w:r>
        <w:rPr/>
        <w:t>“</w:t>
      </w:r>
      <w:r>
        <w:rPr>
          <w:rFonts w:ascii="Times New Roman" w:hAnsi="Times New Roman"/>
          <w:b/>
          <w:sz w:val="20"/>
        </w:rPr>
        <w:t>Purchase Money Obligation</w:t>
      </w:r>
      <w:r>
        <w:rPr>
          <w:rFonts w:ascii="Times New Roman" w:hAnsi="Times New Roman"/>
          <w:sz w:val="20"/>
        </w:rPr>
        <w:t xml:space="preserve">” means, for any Person, the obligations of such Person in respect of Indebtedness incurred for the purpose of financing all or any part of the purchase price of any fixed or Capital Assets or the cost of installation, construction or improvement of any fixed or Capital Assets and any refinancing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such Indebtedness is incurred no later than one hundred eighty (180) days after the acquisition, installation, construction, repair, replacement, exchange or improvement of such fixed or Capital Assets by such Person, (b) the amount of such Indebtedness (excluding any costs, expenses and fees incurred in connection therewith) does not exceed one hundred percent (100%) of the cost of such acquisition, installation, construction or improvement, as the case may be, and (c) the Liens granted with respect thereto do not at any time encumber any property other than the property financed by such Indebtedness (with respect to Capital Lease Obligations, the Liens granted with respect thereto do not at any time extend to or cover any assets other than the assets subject to such Capital Lease Obligations). </w:t>
      </w:r>
    </w:p>
    <w:p>
      <w:pPr>
        <w:pStyle w:val="TextBody"/>
        <w:bidi w:val="0"/>
        <w:spacing w:before="240" w:after="0"/>
        <w:jc w:val="left"/>
        <w:rPr/>
      </w:pPr>
      <w:r>
        <w:rPr/>
        <w:t>“</w:t>
      </w:r>
      <w:r>
        <w:rPr>
          <w:rFonts w:ascii="Times New Roman" w:hAnsi="Times New Roman"/>
          <w:b/>
          <w:sz w:val="20"/>
        </w:rPr>
        <w:t>QIB</w:t>
      </w:r>
      <w:r>
        <w:rPr>
          <w:rFonts w:ascii="Times New Roman" w:hAnsi="Times New Roman"/>
          <w:sz w:val="20"/>
        </w:rPr>
        <w:t xml:space="preserve">” means a “qualified institutional buyer” as defined in Rule 144A under the Securities Act. </w:t>
      </w:r>
    </w:p>
    <w:p>
      <w:pPr>
        <w:pStyle w:val="TextBody"/>
        <w:bidi w:val="0"/>
        <w:spacing w:before="240" w:after="0"/>
        <w:jc w:val="left"/>
        <w:rPr/>
      </w:pPr>
      <w:r>
        <w:rPr/>
        <w:t>“</w:t>
      </w:r>
      <w:r>
        <w:rPr>
          <w:rFonts w:ascii="Times New Roman" w:hAnsi="Times New Roman"/>
          <w:b/>
          <w:sz w:val="20"/>
        </w:rPr>
        <w:t>Qualified Capital Stock</w:t>
      </w:r>
      <w:r>
        <w:rPr>
          <w:rFonts w:ascii="Times New Roman" w:hAnsi="Times New Roman"/>
          <w:sz w:val="20"/>
        </w:rPr>
        <w:t xml:space="preserve">” of any Person means any Equity Interests of such person that are not Disqualified Capital Stock. </w:t>
      </w:r>
    </w:p>
    <w:p>
      <w:pPr>
        <w:pStyle w:val="TextBody"/>
        <w:bidi w:val="0"/>
        <w:spacing w:before="240" w:after="0"/>
        <w:jc w:val="left"/>
        <w:rPr/>
      </w:pPr>
      <w:r>
        <w:rPr/>
        <w:t>“</w:t>
      </w:r>
      <w:r>
        <w:rPr>
          <w:rFonts w:ascii="Times New Roman" w:hAnsi="Times New Roman"/>
          <w:b/>
          <w:sz w:val="20"/>
        </w:rPr>
        <w:t>Quarterly Redemption Date</w:t>
      </w:r>
      <w:r>
        <w:rPr>
          <w:rFonts w:ascii="Times New Roman" w:hAnsi="Times New Roman"/>
          <w:sz w:val="20"/>
        </w:rPr>
        <w:t xml:space="preserve">” has the meaning assigned to such term in </w:t>
      </w:r>
      <w:r>
        <w:rPr>
          <w:rFonts w:ascii="Times New Roman" w:hAnsi="Times New Roman"/>
          <w:sz w:val="20"/>
          <w:u w:val="single"/>
        </w:rPr>
        <w:t>Section 3.12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Rating Event</w:t>
      </w:r>
      <w:r>
        <w:rPr>
          <w:rFonts w:ascii="Times New Roman" w:hAnsi="Times New Roman"/>
          <w:sz w:val="20"/>
        </w:rPr>
        <w:t xml:space="preserve">” means the rating on the Notes is lowered by at least one (1) of the applicable rating agencies on any day within the 60-day period (which 60-day period will be extended so long as the rating of the Notes is under publicly announced consideration for a possible downgrade by either of the applicable rating agencies) after the earlier of (1) the occurrence of a Change of Control and (2) public disclosure by the Issuer of the occurrence of a Change of Control or the Issuer’s intention to effect a Change of Control;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Rating Event otherwise arising by virtue of a particular reduction in rating will not be deemed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the Trustee in writing at the Issuer’s or the Trustee’s request that the reduction was the result, in whole or in part, of any event or circumstance comprised of or arising as a result of, or in respect of, the applicable Change of Control (whether or not the applicable Change of Control has occurred at the time of the Rating Event). </w:t>
      </w:r>
    </w:p>
    <w:p>
      <w:pPr>
        <w:pStyle w:val="TextBody"/>
        <w:bidi w:val="0"/>
        <w:spacing w:before="240" w:after="0"/>
        <w:jc w:val="left"/>
        <w:rPr/>
      </w:pPr>
      <w:r>
        <w:rPr/>
        <w:t>“</w:t>
      </w:r>
      <w:r>
        <w:rPr>
          <w:rFonts w:ascii="Times New Roman" w:hAnsi="Times New Roman"/>
          <w:b/>
          <w:sz w:val="20"/>
        </w:rPr>
        <w:t>Real Property</w:t>
      </w:r>
      <w:r>
        <w:rPr>
          <w:rFonts w:ascii="Times New Roman" w:hAnsi="Times New Roman"/>
          <w:sz w:val="20"/>
        </w:rPr>
        <w:t xml:space="preserve">” means,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 </w:t>
      </w:r>
    </w:p>
    <w:p>
      <w:pPr>
        <w:pStyle w:val="TextBody"/>
        <w:bidi w:val="0"/>
        <w:spacing w:before="240" w:after="0"/>
        <w:jc w:val="left"/>
        <w:rPr/>
      </w:pPr>
      <w:r>
        <w:rPr/>
        <w:t>“</w:t>
      </w:r>
      <w:r>
        <w:rPr>
          <w:rFonts w:ascii="Times New Roman" w:hAnsi="Times New Roman"/>
          <w:b/>
          <w:sz w:val="20"/>
        </w:rPr>
        <w:t>Reference Date</w:t>
      </w:r>
      <w:r>
        <w:rPr>
          <w:rFonts w:ascii="Times New Roman" w:hAnsi="Times New Roman"/>
          <w:sz w:val="20"/>
        </w:rPr>
        <w:t xml:space="preserve">” has the meaning assigned to such term in the definition of “Cumulative Amount”. </w:t>
      </w:r>
    </w:p>
    <w:p>
      <w:pPr>
        <w:pStyle w:val="TextBody"/>
        <w:bidi w:val="0"/>
        <w:spacing w:before="240" w:after="0"/>
        <w:jc w:val="left"/>
        <w:rPr/>
      </w:pPr>
      <w:r>
        <w:rPr/>
        <w:t>“</w:t>
      </w:r>
      <w:r>
        <w:rPr>
          <w:rFonts w:ascii="Times New Roman" w:hAnsi="Times New Roman"/>
          <w:b/>
          <w:sz w:val="20"/>
        </w:rPr>
        <w:t>Refinanced Debt</w:t>
      </w:r>
      <w:r>
        <w:rPr>
          <w:rFonts w:ascii="Times New Roman" w:hAnsi="Times New Roman"/>
          <w:sz w:val="20"/>
        </w:rPr>
        <w:t xml:space="preserve">” has the meaning assigned to such term in the definition of “Notes Refinancing Indebtedness.” </w:t>
      </w:r>
    </w:p>
    <w:p>
      <w:pPr>
        <w:pStyle w:val="TextBody"/>
        <w:bidi w:val="0"/>
        <w:spacing w:before="240" w:after="0"/>
        <w:jc w:val="left"/>
        <w:rPr/>
      </w:pPr>
      <w:r>
        <w:rPr/>
        <w:t>“</w:t>
      </w:r>
      <w:r>
        <w:rPr>
          <w:rFonts w:ascii="Times New Roman" w:hAnsi="Times New Roman"/>
          <w:b/>
          <w:sz w:val="20"/>
        </w:rPr>
        <w:t>Registered Equivalent Notes</w:t>
      </w:r>
      <w:r>
        <w:rPr>
          <w:rFonts w:ascii="Times New Roman" w:hAnsi="Times New Roman"/>
          <w:sz w:val="20"/>
        </w:rPr>
        <w:t xml:space="preserve">” means, with respect to any notes originally issued in a Rule 144A or other private placement transaction under the Securities Act of 1933, substantially identical notes (having the same guarantee obligations) issued in a dollar-for-dollar exchange therefor pursuant to an exchange offer registered with the SEC. </w:t>
      </w:r>
    </w:p>
    <w:p>
      <w:pPr>
        <w:pStyle w:val="TextBody"/>
        <w:bidi w:val="0"/>
        <w:spacing w:before="240" w:after="0"/>
        <w:jc w:val="left"/>
        <w:rPr/>
      </w:pPr>
      <w:r>
        <w:rPr/>
        <w:t>“</w:t>
      </w:r>
      <w:r>
        <w:rPr>
          <w:rFonts w:ascii="Times New Roman" w:hAnsi="Times New Roman"/>
          <w:b/>
          <w:sz w:val="20"/>
        </w:rPr>
        <w:t>Registrar</w:t>
      </w:r>
      <w:r>
        <w:rPr>
          <w:rFonts w:ascii="Times New Roman" w:hAnsi="Times New Roman"/>
          <w:sz w:val="20"/>
        </w:rPr>
        <w:t xml:space="preserve">” has the meaning assigned in </w:t>
      </w:r>
      <w:r>
        <w:rPr>
          <w:rFonts w:ascii="Times New Roman" w:hAnsi="Times New Roman"/>
          <w:sz w:val="20"/>
          <w:u w:val="single"/>
        </w:rPr>
        <w:t>Section 2.03(a)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Regulation D</w:t>
      </w:r>
      <w:r>
        <w:rPr>
          <w:rFonts w:ascii="Times New Roman" w:hAnsi="Times New Roman"/>
          <w:sz w:val="20"/>
        </w:rPr>
        <w:t xml:space="preserve">” means Regulation D of the Board as from time to time in effect and all official rulings and interpretations thereunder or thereof. </w:t>
      </w:r>
    </w:p>
    <w:p>
      <w:pPr>
        <w:pStyle w:val="TextBody"/>
        <w:bidi w:val="0"/>
        <w:spacing w:before="240" w:after="0"/>
        <w:jc w:val="left"/>
        <w:rPr/>
      </w:pPr>
      <w:r>
        <w:rPr/>
        <w:t>“</w:t>
      </w:r>
      <w:r>
        <w:rPr>
          <w:rFonts w:ascii="Times New Roman" w:hAnsi="Times New Roman"/>
          <w:b/>
          <w:sz w:val="20"/>
        </w:rPr>
        <w:t>Regulation T</w:t>
      </w:r>
      <w:r>
        <w:rPr>
          <w:rFonts w:ascii="Times New Roman" w:hAnsi="Times New Roman"/>
          <w:sz w:val="20"/>
        </w:rPr>
        <w:t xml:space="preserve">” means Regulation T of the Board as from time to time in effect and all official rulings and interpretations thereunder or thereof. </w:t>
      </w:r>
    </w:p>
    <w:p>
      <w:pPr>
        <w:pStyle w:val="TextBody"/>
        <w:bidi w:val="0"/>
        <w:spacing w:before="240" w:after="0"/>
        <w:jc w:val="left"/>
        <w:rPr/>
      </w:pPr>
      <w:r>
        <w:rPr/>
        <w:t>“</w:t>
      </w:r>
      <w:r>
        <w:rPr>
          <w:rFonts w:ascii="Times New Roman" w:hAnsi="Times New Roman"/>
          <w:b/>
          <w:sz w:val="20"/>
        </w:rPr>
        <w:t>Regulation U</w:t>
      </w:r>
      <w:r>
        <w:rPr>
          <w:rFonts w:ascii="Times New Roman" w:hAnsi="Times New Roman"/>
          <w:sz w:val="20"/>
        </w:rPr>
        <w:t xml:space="preserve">” means Regulation U of the Board as from time to time in effect and all official rulings and interpretations thereunder or thereof. </w:t>
      </w:r>
    </w:p>
    <w:p>
      <w:pPr>
        <w:pStyle w:val="TextBody"/>
        <w:bidi w:val="0"/>
        <w:spacing w:before="240" w:after="0"/>
        <w:jc w:val="left"/>
        <w:rPr/>
      </w:pPr>
      <w:r>
        <w:rPr/>
        <w:t>“</w:t>
      </w:r>
      <w:r>
        <w:rPr>
          <w:rFonts w:ascii="Times New Roman" w:hAnsi="Times New Roman"/>
          <w:b/>
          <w:sz w:val="20"/>
        </w:rPr>
        <w:t>Regulation X</w:t>
      </w:r>
      <w:r>
        <w:rPr>
          <w:rFonts w:ascii="Times New Roman" w:hAnsi="Times New Roman"/>
          <w:sz w:val="20"/>
        </w:rPr>
        <w:t xml:space="preserve">” means Regulation X of the Board as from time to time in effect and all official rulings and interpretations thereunder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Reinvestment Yield</w:t>
      </w:r>
      <w:r>
        <w:rPr>
          <w:rFonts w:ascii="Times New Roman" w:hAnsi="Times New Roman"/>
          <w:sz w:val="20"/>
        </w:rPr>
        <w:t xml:space="preserve">” means, with respect to the Called Principal of any Notes, 50 basis points (one-half of one percent) </w:t>
      </w:r>
      <w:r>
        <w:rPr>
          <w:rFonts w:ascii="Times New Roman" w:hAnsi="Times New Roman"/>
          <w:i/>
          <w:sz w:val="20"/>
        </w:rPr>
        <w:t>plus</w:t>
      </w:r>
      <w:r>
        <w:rPr>
          <w:rFonts w:ascii="Times New Roman" w:hAnsi="Times New Roman"/>
          <w:sz w:val="20"/>
        </w:rPr>
        <w:t xml:space="preserve"> the yield to maturity implied by (a) the yields reported as of 10:00 a.m. (New York, New York time) on the second Business Day preceding the Settlement Date with respect to such Called Principal, on the display designated as “Page PX1” (or such other display as may replace Page PX1 on Bloomberg) or, if Page PX1 (or its successor screen on Bloomberg) is unavailable, the Telerate Access Service screen which corresponds most closely to Page PX1 for the most recently issued actively traded U.S. Treasury securities having a maturity equal to the Remaining Life of such Called Principal as of such Settlement Date, or (b)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Life of such Called Principal as of such Settlement Date. Such implied yield will be determined, if necessary, by (i) converting U.S. Treasury bill quotations to bond equivalent yields in accordance with accepted financial practice and (ii) interpolating linearly between (A) the actively traded U.S. Treasury security with the maturity closest to and greater than such Remaining Life and (B) the actively traded U.S. Treasury security with the maturity closest to and less than such Remaining Life. The Reinvestment Yield shall be rounded to two decimal places. </w:t>
      </w:r>
    </w:p>
    <w:p>
      <w:pPr>
        <w:pStyle w:val="TextBody"/>
        <w:bidi w:val="0"/>
        <w:spacing w:before="240" w:after="0"/>
        <w:jc w:val="left"/>
        <w:rPr/>
      </w:pPr>
      <w:r>
        <w:rPr/>
        <w:t>“</w:t>
      </w:r>
      <w:r>
        <w:rPr>
          <w:rFonts w:ascii="Times New Roman" w:hAnsi="Times New Roman"/>
          <w:b/>
          <w:sz w:val="20"/>
        </w:rPr>
        <w:t>Release</w:t>
      </w:r>
      <w:r>
        <w:rPr>
          <w:rFonts w:ascii="Times New Roman" w:hAnsi="Times New Roman"/>
          <w:sz w:val="20"/>
        </w:rPr>
        <w:t xml:space="preserve">” means any spilling, leaking, seepage, pumping, pouring, emitting, emptying, discharging, injecting, escaping, leaching, dumping, migrating, depositing, dispersing or disposing of any Hazardous Material into the Environment. </w:t>
      </w:r>
    </w:p>
    <w:p>
      <w:pPr>
        <w:pStyle w:val="TextBody"/>
        <w:bidi w:val="0"/>
        <w:spacing w:before="240" w:after="0"/>
        <w:jc w:val="left"/>
        <w:rPr/>
      </w:pPr>
      <w:r>
        <w:rPr/>
        <w:t>“</w:t>
      </w:r>
      <w:r>
        <w:rPr>
          <w:rFonts w:ascii="Times New Roman" w:hAnsi="Times New Roman"/>
          <w:b/>
          <w:sz w:val="20"/>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or the Federal Reserve Bank of New York, or any successor thereto. </w:t>
      </w:r>
    </w:p>
    <w:p>
      <w:pPr>
        <w:pStyle w:val="TextBody"/>
        <w:bidi w:val="0"/>
        <w:spacing w:before="240" w:after="0"/>
        <w:jc w:val="left"/>
        <w:rPr/>
      </w:pPr>
      <w:r>
        <w:rPr/>
        <w:t>“</w:t>
      </w:r>
      <w:r>
        <w:rPr>
          <w:rFonts w:ascii="Times New Roman" w:hAnsi="Times New Roman"/>
          <w:b/>
          <w:sz w:val="20"/>
        </w:rPr>
        <w:t>Remaining Life</w:t>
      </w:r>
      <w:r>
        <w:rPr>
          <w:rFonts w:ascii="Times New Roman" w:hAnsi="Times New Roman"/>
          <w:sz w:val="20"/>
        </w:rPr>
        <w:t xml:space="preserve">” means, with respect to any Called Principal, the number of years (calculated to the nearest one-twelfth of a year) that will elapse between the Settlement Date with respect to such Called Principal and the Make-Whole Expiry Date. </w:t>
      </w:r>
    </w:p>
    <w:p>
      <w:pPr>
        <w:pStyle w:val="TextBody"/>
        <w:bidi w:val="0"/>
        <w:spacing w:before="240" w:after="0"/>
        <w:jc w:val="left"/>
        <w:rPr/>
      </w:pPr>
      <w:r>
        <w:rPr/>
        <w:t>“</w:t>
      </w:r>
      <w:r>
        <w:rPr>
          <w:rFonts w:ascii="Times New Roman" w:hAnsi="Times New Roman"/>
          <w:b/>
          <w:sz w:val="20"/>
        </w:rPr>
        <w:t>Remaining Scheduled Payments</w:t>
      </w:r>
      <w:r>
        <w:rPr>
          <w:rFonts w:ascii="Times New Roman" w:hAnsi="Times New Roman"/>
          <w:sz w:val="20"/>
        </w:rPr>
        <w:t xml:space="preserve">” means, with respect to the Called Principal of any Note, all payments of interest in respect of such Called Principal that would be due after the Settlement Date through the Make-Whole Expiry Date with respect to such Called Principal if no payment of such Called Principal were made (assuming that Term SOFR prevailing at the time the applicable notice of redemption is delivered or, if no such notice is given, the time of such redemption applies through the applicable period). </w:t>
      </w:r>
    </w:p>
    <w:p>
      <w:pPr>
        <w:pStyle w:val="TextBody"/>
        <w:bidi w:val="0"/>
        <w:spacing w:before="240" w:after="0"/>
        <w:jc w:val="left"/>
        <w:rPr/>
      </w:pPr>
      <w:r>
        <w:rPr/>
        <w:t>“</w:t>
      </w:r>
      <w:r>
        <w:rPr>
          <w:rFonts w:ascii="Times New Roman" w:hAnsi="Times New Roman"/>
          <w:b/>
          <w:sz w:val="20"/>
        </w:rPr>
        <w:t>Required Debt Terms</w:t>
      </w:r>
      <w:r>
        <w:rPr>
          <w:rFonts w:ascii="Times New Roman" w:hAnsi="Times New Roman"/>
          <w:sz w:val="20"/>
        </w:rPr>
        <w:t xml:space="preserve">” means in respect of any Indebtedness, the following requirements: (a) such Indebtedness (i) does not have a maturity date or any mandatory prepayment or redemption features (other than customary asset sale events, insurance and condemnation proceeds events, change of control offers or events of default and, if secured, excess cash flow sweeps and, solely in the case of Permitted Additional Debt secured on a pari passu basis with the Obligations (including any Permitted Refinancing thereof secured on a pari passu basis with the Obligations), regularly scheduled principal amortization payments), in each case prior to the date that is the then Maturity Date at the time such Indebtedness is incurred and (ii) such Indebtedness does not have a shorter Weighted Average Life to Maturity than the Notes then outstanding; </w:t>
      </w:r>
      <w:r>
        <w:rPr>
          <w:rFonts w:ascii="Times New Roman" w:hAnsi="Times New Roman"/>
          <w:i/>
          <w:sz w:val="20"/>
        </w:rPr>
        <w:t>provided</w:t>
      </w:r>
      <w:r>
        <w:rPr>
          <w:rFonts w:ascii="Times New Roman" w:hAnsi="Times New Roman"/>
          <w:sz w:val="20"/>
        </w:rPr>
        <w:t xml:space="preserve">, that, the limitations in this </w:t>
      </w:r>
      <w:r>
        <w:rPr>
          <w:rFonts w:ascii="Times New Roman" w:hAnsi="Times New Roman"/>
          <w:sz w:val="20"/>
          <w:u w:val="single"/>
        </w:rPr>
        <w:t>clause (a)</w:t>
      </w:r>
      <w:r>
        <w:rPr>
          <w:rFonts w:ascii="Times New Roman" w:hAnsi="Times New Roman"/>
          <w:sz w:val="20"/>
        </w:rPr>
        <w:t xml:space="preserve"> shall not apply to any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Additional Debt consisting of a customary bridge facility so long as the long-term debt into which such customary bridge facility is to be converted satisfies the provisions of this clause, (b) no Person shall be a guarantor with respect to such Indebtedness unless such Person is a Guarantor which shall have previously or substantially concurrently guaranteed the Obligations, (c) if such Indebtedness is secured by the Collateral, a Senior Representative acting on behalf of the holders of such Indebtedness has become party to both the ABL/Note Intercreditor Agreement and an appropriate Other Intercreditor Agreement (</w:t>
      </w:r>
      <w:r>
        <w:rPr>
          <w:rFonts w:ascii="Times New Roman" w:hAnsi="Times New Roman"/>
          <w:sz w:val="20"/>
          <w:u w:val="single"/>
        </w:rPr>
        <w:t>i.e.</w:t>
      </w:r>
      <w:r>
        <w:rPr>
          <w:rFonts w:ascii="Times New Roman" w:hAnsi="Times New Roman"/>
          <w:sz w:val="20"/>
        </w:rPr>
        <w:t xml:space="preserve">, reflecting whether such Indebtedness is secured on a </w:t>
      </w:r>
      <w:r>
        <w:rPr>
          <w:rFonts w:ascii="Times New Roman" w:hAnsi="Times New Roman"/>
          <w:i/>
          <w:sz w:val="20"/>
        </w:rPr>
        <w:t>pari passu</w:t>
      </w:r>
      <w:r>
        <w:rPr>
          <w:rFonts w:ascii="Times New Roman" w:hAnsi="Times New Roman"/>
          <w:sz w:val="20"/>
        </w:rPr>
        <w:t xml:space="preserve"> or junior basis with the Obligations), (d) to the extent secured, any such Indebtedness is not secured by assets not constituting Collateral, (e) any such Indebtedness that is payment subordinated shall be subject to a subordination agreement on terms that are reasonably acceptable to the Trustee (acting at the direction of the Controlling Parties) and the Issuer and (f) the terms and conditions of such Indebtedness (excluding pricing, interest rate margins, rate floors, discounts, premiums, fees, and prepayment, redemption, or amortization terms and provisions which shall be determined by the Issuer) either, at the option of the Issuer, (i) reflect market terms and conditions (taken as a whole) at the time of incurrence, issuance or effectiveness (as determined by the Issuer in good faith) or (ii) are not more favorable in any material respect to the lenders providing such Indebtedness than the terms and conditions of this Indenture (when taken as a whole) as reasonably determined by the Issuer (except for covenants or other provisions applicable only to periods after Maturity Date) (it being understood that (x) to the extent that any financial maintenance covenant (or other covenant) is added for the benefit of any such Indebtedness, the terms and conditions of such Indebtedness will be deemed not to be more restrictive than the terms and conditions of this Indenture if such financial maintenance covenant (or other covenant) is also added for the benefit of this Indenture and (y) no consent shall be required from the Trustee for terms or conditions that are not market terms or are more restrictive than this Indenture if such terms are added to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 certificate delivered to the Trustee at least five (5) Business Days prior to the incurrence of such Indebtedness, together with a reasonably detailed description of the material terms and conditions of such Indebtedness or drafts of the documentation relating thereto, stating that the Issuer has determined in good faith that such terms and conditions satisfy the requirements of this definition, shall be conclusive evidence that such terms and conditions satisfy the requirements of this definition. </w:t>
      </w:r>
    </w:p>
    <w:p>
      <w:pPr>
        <w:pStyle w:val="TextBody"/>
        <w:bidi w:val="0"/>
        <w:spacing w:before="240" w:after="0"/>
        <w:jc w:val="left"/>
        <w:rPr/>
      </w:pPr>
      <w:r>
        <w:rPr/>
        <w:t>“</w:t>
      </w:r>
      <w:r>
        <w:rPr>
          <w:rFonts w:ascii="Times New Roman" w:hAnsi="Times New Roman"/>
          <w:b/>
          <w:sz w:val="20"/>
        </w:rPr>
        <w:t>Requirements of Law</w:t>
      </w:r>
      <w:r>
        <w:rPr>
          <w:rFonts w:ascii="Times New Roman" w:hAnsi="Times New Roman"/>
          <w:sz w:val="20"/>
        </w:rPr>
        <w:t xml:space="preserve">” means, collectively, all international, foreign, federal, state and local laws (including common law), judgments, decrees,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or other requirements of, any Governmental Authority, in each case whether or not having the force of law.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in each case, who shall have direct responsibility for the administration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Restatement Effective Date</w:t>
      </w:r>
      <w:r>
        <w:rPr>
          <w:rFonts w:ascii="Times New Roman" w:hAnsi="Times New Roman"/>
          <w:sz w:val="20"/>
        </w:rPr>
        <w:t xml:space="preserve">” means [__], 20[ ]. </w:t>
      </w:r>
    </w:p>
    <w:p>
      <w:pPr>
        <w:pStyle w:val="TextBody"/>
        <w:bidi w:val="0"/>
        <w:spacing w:before="240" w:after="0"/>
        <w:jc w:val="left"/>
        <w:rPr/>
      </w:pPr>
      <w:r>
        <w:rPr/>
        <w:t>“</w:t>
      </w:r>
      <w:r>
        <w:rPr>
          <w:rFonts w:ascii="Times New Roman" w:hAnsi="Times New Roman"/>
          <w:b/>
          <w:sz w:val="20"/>
        </w:rPr>
        <w:t>Restricted Debt Payment</w:t>
      </w:r>
      <w:r>
        <w:rPr>
          <w:rFonts w:ascii="Times New Roman" w:hAnsi="Times New Roman"/>
          <w:sz w:val="20"/>
        </w:rPr>
        <w:t xml:space="preserve">” has the meaning assigned to such term in </w:t>
      </w:r>
      <w:r>
        <w:rPr>
          <w:rFonts w:ascii="Times New Roman" w:hAnsi="Times New Roman"/>
          <w:sz w:val="20"/>
          <w:u w:val="single"/>
        </w:rPr>
        <w:t>Section 6.09(a)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Subsidiary</w:t>
      </w:r>
      <w:r>
        <w:rPr>
          <w:rFonts w:ascii="Times New Roman" w:hAnsi="Times New Roman"/>
          <w:sz w:val="20"/>
        </w:rPr>
        <w:t xml:space="preserve">” means each Subsidiary other than an Unrestricted Subsidiary. </w:t>
      </w:r>
    </w:p>
    <w:p>
      <w:pPr>
        <w:pStyle w:val="TextBody"/>
        <w:bidi w:val="0"/>
        <w:spacing w:before="240" w:after="0"/>
        <w:jc w:val="left"/>
        <w:rPr/>
      </w:pPr>
      <w:r>
        <w:rPr/>
        <w:t>“</w:t>
      </w:r>
      <w:r>
        <w:rPr>
          <w:rFonts w:ascii="Times New Roman" w:hAnsi="Times New Roman"/>
          <w:b/>
          <w:sz w:val="20"/>
        </w:rPr>
        <w:t>Rights Offering</w:t>
      </w:r>
      <w:r>
        <w:rPr>
          <w:rFonts w:ascii="Times New Roman" w:hAnsi="Times New Roman"/>
          <w:sz w:val="20"/>
        </w:rPr>
        <w:t xml:space="preserve">” has the meaning assigned to such term in the recitals hereto. </w:t>
      </w:r>
    </w:p>
    <w:p>
      <w:pPr>
        <w:pStyle w:val="TextBody"/>
        <w:bidi w:val="0"/>
        <w:spacing w:before="240" w:after="0"/>
        <w:jc w:val="left"/>
        <w:rPr/>
      </w:pPr>
      <w:r>
        <w:rPr/>
        <w:t>“</w:t>
      </w:r>
      <w:r>
        <w:rPr>
          <w:rFonts w:ascii="Times New Roman" w:hAnsi="Times New Roman"/>
          <w:b/>
          <w:sz w:val="20"/>
        </w:rPr>
        <w:t>Rights Offering Backstop Agreement</w:t>
      </w:r>
      <w:r>
        <w:rPr>
          <w:rFonts w:ascii="Times New Roman" w:hAnsi="Times New Roman"/>
          <w:sz w:val="20"/>
        </w:rPr>
        <w:t xml:space="preserve">” means that certain Rights Offering Backstop Agreement, dated as of August [], 2026, by and among the Issuer and the Backstop Parties.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Standard &amp; Poor’s Ratings Service, a subsidiary of S&amp;P Global Inc., and its successors. </w:t>
      </w:r>
    </w:p>
    <w:p>
      <w:pPr>
        <w:pStyle w:val="TextBody"/>
        <w:bidi w:val="0"/>
        <w:spacing w:before="240" w:after="0"/>
        <w:jc w:val="left"/>
        <w:rPr/>
      </w:pPr>
      <w:r>
        <w:rPr/>
        <w:t>“</w:t>
      </w:r>
      <w:r>
        <w:rPr>
          <w:rFonts w:ascii="Times New Roman" w:hAnsi="Times New Roman"/>
          <w:b/>
          <w:sz w:val="20"/>
        </w:rPr>
        <w:t>Sale Leaseback Transaction</w:t>
      </w:r>
      <w:r>
        <w:rPr>
          <w:rFonts w:ascii="Times New Roman" w:hAnsi="Times New Roman"/>
          <w:sz w:val="20"/>
        </w:rPr>
        <w:t xml:space="preserve">” means any arrangement, directly or indirectly, with any person whereby the Issuer or any of its Restricted Subsidiaries shall sell, transfer or otherwise dispose of any property, real or personal, used or useful in its business, whether now owned or hereafter acquired, and thereafter rent or lease such property or other property that it intends to use for substantially the same purpose or purposes as the property being sold or transferred; </w:t>
      </w:r>
      <w:r>
        <w:rPr>
          <w:rFonts w:ascii="Times New Roman" w:hAnsi="Times New Roman"/>
          <w:i/>
          <w:sz w:val="20"/>
        </w:rPr>
        <w:t>provided</w:t>
      </w:r>
      <w:r>
        <w:rPr>
          <w:rFonts w:ascii="Times New Roman" w:hAnsi="Times New Roman"/>
          <w:sz w:val="20"/>
        </w:rPr>
        <w:t xml:space="preserve">, that, (a) no Event of Default shall have occurred and be continuing or would immediately result therefrom and (b) such Sale Leaseback Transaction is consummated within one hundred eighty (180) days of the disposition of such property.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sanctions administered by the United States (including by OFAC and the U.S. Department of State) or any similar laws or regulations enacted by the United Nations, the European Union or the United Kingdom.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b/>
          <w:sz w:val="20"/>
        </w:rPr>
        <w:t>Secured Net Leverage Ratio</w:t>
      </w:r>
      <w:r>
        <w:rPr>
          <w:rFonts w:ascii="Times New Roman" w:hAnsi="Times New Roman"/>
          <w:sz w:val="20"/>
        </w:rPr>
        <w:t xml:space="preserve">” means, at any date of determination, the ratio of (a)(x) Consolidated Secured Indebtedness of the Issuer and its Restricted Subsidiaries on such date </w:t>
      </w:r>
      <w:r>
        <w:rPr>
          <w:rFonts w:ascii="Times New Roman" w:hAnsi="Times New Roman"/>
          <w:i/>
          <w:sz w:val="20"/>
        </w:rPr>
        <w:t>minus</w:t>
      </w:r>
      <w:r>
        <w:rPr>
          <w:rFonts w:ascii="Times New Roman" w:hAnsi="Times New Roman"/>
          <w:sz w:val="20"/>
        </w:rPr>
        <w:t xml:space="preserve"> (y) Unrestricted Cash of the Issuer and its Restricted Subsidiaries on such date in an amount not to exceed $25,000,000 to (b) Consolidated EBITDA for the Test Period then most recently ended. </w:t>
      </w:r>
    </w:p>
    <w:p>
      <w:pPr>
        <w:pStyle w:val="TextBody"/>
        <w:bidi w:val="0"/>
        <w:spacing w:before="240" w:after="0"/>
        <w:jc w:val="left"/>
        <w:rPr/>
      </w:pPr>
      <w:r>
        <w:rPr/>
        <w:t>“</w:t>
      </w:r>
      <w:r>
        <w:rPr>
          <w:rFonts w:ascii="Times New Roman" w:hAnsi="Times New Roman"/>
          <w:b/>
          <w:sz w:val="20"/>
        </w:rPr>
        <w:t>Secured Parties</w:t>
      </w:r>
      <w:r>
        <w:rPr>
          <w:rFonts w:ascii="Times New Roman" w:hAnsi="Times New Roman"/>
          <w:sz w:val="20"/>
        </w:rPr>
        <w:t xml:space="preserve">” means, collectively, (a) the Trustee, (b) the Collateral Agent, (c) the Holders, (d) the beneficiaries of each indemnification obligation undertaken by the Issuer or any Guarantor under this Indenture or any other Notes Documents and (e) each of their respective successors, permitted transferees and permitted assigns.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Securities Purchase Agreement</w:t>
      </w:r>
      <w:r>
        <w:rPr>
          <w:rFonts w:ascii="Times New Roman" w:hAnsi="Times New Roman"/>
          <w:sz w:val="20"/>
        </w:rPr>
        <w:t xml:space="preserve">” means that certain Securities Purchase Agreement, dated as of March 7, 2025, by and among the Issuer and the several purchasers of the Senior Notes (as defined therein). </w:t>
      </w:r>
    </w:p>
    <w:p>
      <w:pPr>
        <w:pStyle w:val="TextBody"/>
        <w:bidi w:val="0"/>
        <w:spacing w:before="240" w:after="0"/>
        <w:jc w:val="left"/>
        <w:rPr/>
      </w:pPr>
      <w:r>
        <w:rPr/>
        <w:t>“</w:t>
      </w:r>
      <w:r>
        <w:rPr>
          <w:rFonts w:ascii="Times New Roman" w:hAnsi="Times New Roman"/>
          <w:b/>
          <w:sz w:val="20"/>
        </w:rPr>
        <w:t>Security Agreement</w:t>
      </w:r>
      <w:r>
        <w:rPr>
          <w:rFonts w:ascii="Times New Roman" w:hAnsi="Times New Roman"/>
          <w:sz w:val="20"/>
        </w:rPr>
        <w:t xml:space="preserve">” means (a) that certain Pledge and Security Agreement, dated as of March 12, 2025, by and among the Issuer, the Subsidiary Guarantors from time to time party thereto and the Collateral Agent and (b) any other security agreements by and among one or more of the Note Parties and the Collateral Agent for the benefit of the Secured Parties with respect to Liens granted on the Collateral thereunder as security for the Obligations. </w:t>
      </w:r>
    </w:p>
    <w:p>
      <w:pPr>
        <w:pStyle w:val="TextBody"/>
        <w:bidi w:val="0"/>
        <w:spacing w:before="240" w:after="0"/>
        <w:jc w:val="left"/>
        <w:rPr/>
      </w:pPr>
      <w:r>
        <w:rPr/>
        <w:t>“</w:t>
      </w:r>
      <w:r>
        <w:rPr>
          <w:rFonts w:ascii="Times New Roman" w:hAnsi="Times New Roman"/>
          <w:b/>
          <w:sz w:val="20"/>
        </w:rPr>
        <w:t>Security Agreement Collateral</w:t>
      </w:r>
      <w:r>
        <w:rPr>
          <w:rFonts w:ascii="Times New Roman" w:hAnsi="Times New Roman"/>
          <w:sz w:val="20"/>
        </w:rPr>
        <w:t xml:space="preserve">” means all property pledged or granted as collateral pursuant to a Security Agreement (a) on the Closing Date or (b) thereafter pursuant to </w:t>
      </w:r>
      <w:r>
        <w:rPr>
          <w:rFonts w:ascii="Times New Roman" w:hAnsi="Times New Roman"/>
          <w:sz w:val="20"/>
          <w:u w:val="single"/>
        </w:rPr>
        <w:t>Section 5.12</w:t>
      </w:r>
      <w:r>
        <w:rPr>
          <w:rFonts w:ascii="Times New Roman" w:hAnsi="Times New Roman"/>
          <w:sz w:val="20"/>
        </w:rPr>
        <w:t xml:space="preserve"> or </w:t>
      </w:r>
      <w:r>
        <w:rPr>
          <w:rFonts w:ascii="Times New Roman" w:hAnsi="Times New Roman"/>
          <w:sz w:val="20"/>
          <w:u w:val="single"/>
        </w:rPr>
        <w:t>Section 5.13</w:t>
      </w:r>
      <w:r>
        <w:rPr>
          <w:rFonts w:ascii="Times New Roman" w:hAnsi="Times New Roman"/>
          <w:sz w:val="20"/>
        </w:rPr>
        <w:t xml:space="preserve"> and in each case other than Excluded Property. </w:t>
      </w:r>
    </w:p>
    <w:p>
      <w:pPr>
        <w:pStyle w:val="TextBody"/>
        <w:bidi w:val="0"/>
        <w:spacing w:before="240" w:after="0"/>
        <w:jc w:val="left"/>
        <w:rPr/>
      </w:pPr>
      <w:r>
        <w:rPr/>
        <w:t>“</w:t>
      </w:r>
      <w:r>
        <w:rPr>
          <w:rFonts w:ascii="Times New Roman" w:hAnsi="Times New Roman"/>
          <w:b/>
          <w:sz w:val="20"/>
        </w:rPr>
        <w:t>Security Documents</w:t>
      </w:r>
      <w:r>
        <w:rPr>
          <w:rFonts w:ascii="Times New Roman" w:hAnsi="Times New Roman"/>
          <w:sz w:val="20"/>
        </w:rPr>
        <w:t xml:space="preserve">” means the Security Agreements, any Mortgages, and each other security document or pledge agreement delivered in accordance with applicable local or foreign law to grant a valid, perfected security interest in or a valid and enforceable Lien of record on, as applicable, any property as collateral for the Obligations, and any other document or instrument utilized to pledge or grant or purport to pledge or grant a security interest in or lien on any property as collateral for the Obligations. </w:t>
      </w:r>
    </w:p>
    <w:p>
      <w:pPr>
        <w:pStyle w:val="TextBody"/>
        <w:bidi w:val="0"/>
        <w:spacing w:before="240" w:after="0"/>
        <w:jc w:val="left"/>
        <w:rPr/>
      </w:pPr>
      <w:r>
        <w:rPr/>
        <w:t>“</w:t>
      </w:r>
      <w:r>
        <w:rPr>
          <w:rFonts w:ascii="Times New Roman" w:hAnsi="Times New Roman"/>
          <w:b/>
          <w:sz w:val="20"/>
        </w:rPr>
        <w:t>Senior Representative</w:t>
      </w:r>
      <w:r>
        <w:rPr>
          <w:rFonts w:ascii="Times New Roman" w:hAnsi="Times New Roman"/>
          <w:sz w:val="20"/>
        </w:rPr>
        <w:t xml:space="preserve">” means, with respect to any series of Permitted Pari Passu Refinancing Debt, Junior Secured Indebtedness, Permitted Junior Refinancing Debt, Permitted Unsecured Refinancing Debt or Permitted Additional Debt, the trustee, sole lender, administrative agent, collateral agent, security agent or similar agent under the indenture or agreement pursuant to which such Indebtedness is issued, incurred or otherwise obtained, as the case may be, and each of their successors in such capacities. </w:t>
      </w:r>
    </w:p>
    <w:p>
      <w:pPr>
        <w:pStyle w:val="TextBody"/>
        <w:bidi w:val="0"/>
        <w:spacing w:before="240" w:after="0"/>
        <w:jc w:val="left"/>
        <w:rPr/>
      </w:pPr>
      <w:r>
        <w:rPr/>
        <w:t>“</w:t>
      </w:r>
      <w:r>
        <w:rPr>
          <w:rFonts w:ascii="Times New Roman" w:hAnsi="Times New Roman"/>
          <w:b/>
          <w:sz w:val="20"/>
        </w:rPr>
        <w:t>Settlement Date</w:t>
      </w:r>
      <w:r>
        <w:rPr>
          <w:rFonts w:ascii="Times New Roman" w:hAnsi="Times New Roman"/>
          <w:sz w:val="20"/>
        </w:rPr>
        <w:t xml:space="preserve">” means, with respect to the Called Principal of any Note, the date on which such Called Principal is to be redeemed pursuant to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b/>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b/>
          <w:sz w:val="20"/>
        </w:rPr>
        <w:t>SOFR Note</w:t>
      </w:r>
      <w:r>
        <w:rPr>
          <w:rFonts w:ascii="Times New Roman" w:hAnsi="Times New Roman"/>
          <w:sz w:val="20"/>
        </w:rPr>
        <w:t xml:space="preserve">” means a Note that bears interest at a rate based on Term SOFR, other than pursuant to </w:t>
      </w:r>
      <w:r>
        <w:rPr>
          <w:rFonts w:ascii="Times New Roman" w:hAnsi="Times New Roman"/>
          <w:sz w:val="20"/>
          <w:u w:val="single"/>
        </w:rPr>
        <w:t>clause (c)</w:t>
      </w:r>
      <w:r>
        <w:rPr>
          <w:rFonts w:ascii="Times New Roman" w:hAnsi="Times New Roman"/>
          <w:sz w:val="20"/>
        </w:rPr>
        <w:t xml:space="preserve"> of the definition of “Alternate Base Rate”. </w:t>
      </w:r>
    </w:p>
    <w:p>
      <w:pPr>
        <w:pStyle w:val="TextBody"/>
        <w:bidi w:val="0"/>
        <w:spacing w:before="240" w:after="0"/>
        <w:jc w:val="left"/>
        <w:rPr/>
      </w:pPr>
      <w:r>
        <w:rPr/>
        <w:t>“</w:t>
      </w:r>
      <w:r>
        <w:rPr>
          <w:rFonts w:ascii="Times New Roman" w:hAnsi="Times New Roman"/>
          <w:b/>
          <w:sz w:val="20"/>
        </w:rPr>
        <w:t>Specified Additional Debt Cap</w:t>
      </w:r>
      <w:r>
        <w:rPr>
          <w:rFonts w:ascii="Times New Roman" w:hAnsi="Times New Roman"/>
          <w:sz w:val="20"/>
        </w:rPr>
        <w:t xml:space="preserve">” means an aggregate amount equal to $150,000,000. </w:t>
      </w:r>
    </w:p>
    <w:p>
      <w:pPr>
        <w:pStyle w:val="TextBody"/>
        <w:bidi w:val="0"/>
        <w:spacing w:before="240" w:after="0"/>
        <w:jc w:val="left"/>
        <w:rPr/>
      </w:pPr>
      <w:r>
        <w:rPr/>
        <w:t>“</w:t>
      </w:r>
      <w:r>
        <w:rPr>
          <w:rFonts w:ascii="Times New Roman" w:hAnsi="Times New Roman"/>
          <w:b/>
          <w:sz w:val="20"/>
        </w:rPr>
        <w:t>Specified Holders</w:t>
      </w:r>
      <w:r>
        <w:rPr>
          <w:rFonts w:ascii="Times New Roman" w:hAnsi="Times New Roman"/>
          <w:sz w:val="20"/>
        </w:rPr>
        <w:t xml:space="preserve">” means those Holders listed on </w:t>
      </w:r>
      <w:r>
        <w:rPr>
          <w:rFonts w:ascii="Times New Roman" w:hAnsi="Times New Roman"/>
          <w:sz w:val="20"/>
          <w:u w:val="single"/>
        </w:rPr>
        <w:t>Schedule 1.01(a)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Specified Letters of Credit</w:t>
      </w:r>
      <w:r>
        <w:rPr>
          <w:rFonts w:ascii="Times New Roman" w:hAnsi="Times New Roman"/>
          <w:sz w:val="20"/>
        </w:rPr>
        <w:t xml:space="preserve">” means those letters of credit listed on </w:t>
      </w:r>
      <w:r>
        <w:rPr>
          <w:rFonts w:ascii="Times New Roman" w:hAnsi="Times New Roman"/>
          <w:sz w:val="20"/>
          <w:u w:val="single"/>
        </w:rPr>
        <w:t>Schedule 1.01(b)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Subject Transaction</w:t>
      </w:r>
      <w:r>
        <w:rPr>
          <w:rFonts w:ascii="Times New Roman" w:hAnsi="Times New Roman"/>
          <w:sz w:val="20"/>
        </w:rPr>
        <w:t xml:space="preserve">” means any (a) disposition of assets or Equity Interests of any Restricted Subsidiary or of any product line, business unit, line of business or division of the Issuer or any of the Restricted Subsidiaries, in each case to the extent otherwise permitted hereunder, (b) Permitted Acquisition, (c) other Investment that is permitted hereunder (including with respect to any business unit, line of business or product line), (d) designation of any Restricted Subsidiary as an Unrestricted Subsidiary, or of any Unrestricted Subsidiary as a Restricted Subsidiary, (e) proposed incurrence of Indebtedness or making of a Dividend or a Restricted Debt Payment in respect of which compliance with any financial ratio is by the terms of this Indenture required to be calculated on a Pro Forma Basis and (f) termination or discontinuance of activities constituting a business unit, line of business or product line. </w:t>
      </w:r>
    </w:p>
    <w:p>
      <w:pPr>
        <w:pStyle w:val="TextBody"/>
        <w:bidi w:val="0"/>
        <w:spacing w:before="240" w:after="0"/>
        <w:jc w:val="left"/>
        <w:rPr/>
      </w:pPr>
      <w:r>
        <w:rPr/>
        <w:t>“</w:t>
      </w:r>
      <w:r>
        <w:rPr>
          <w:rFonts w:ascii="Times New Roman" w:hAnsi="Times New Roman"/>
          <w:b/>
          <w:sz w:val="20"/>
        </w:rPr>
        <w:t>Subordinated Indebtedness</w:t>
      </w:r>
      <w:r>
        <w:rPr>
          <w:rFonts w:ascii="Times New Roman" w:hAnsi="Times New Roman"/>
          <w:sz w:val="20"/>
        </w:rPr>
        <w:t xml:space="preserve">” means Indebtedness of the Issuer or any Guarantor that is by its terms subordinated in right of payment to the Obligations of the Issuer and such Guarantor, as applicable.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means, as to any Person, a corporation, partnership or other entity of which shares of capital stock or other Equity Interests having ordinary voting power (other than capital stock or other equity interests having such power only by reason of the happening of a contingency) to elect a majority of the board of directors or other managers of such corporation, partnership or other entity are at the time owned, directly or indirectly, or the management of which is otherwise controlled, directly or indirectly, or both, by such Person. Unless the context otherwise requires, the term “</w:t>
      </w:r>
      <w:r>
        <w:rPr>
          <w:rFonts w:ascii="Times New Roman" w:hAnsi="Times New Roman"/>
          <w:b/>
          <w:sz w:val="20"/>
        </w:rPr>
        <w:t>Subsidiary</w:t>
      </w:r>
      <w:r>
        <w:rPr>
          <w:rFonts w:ascii="Times New Roman" w:hAnsi="Times New Roman"/>
          <w:sz w:val="20"/>
        </w:rPr>
        <w:t xml:space="preserve">” means a Subsidiary of the Issuer. </w:t>
      </w:r>
    </w:p>
    <w:p>
      <w:pPr>
        <w:pStyle w:val="TextBody"/>
        <w:bidi w:val="0"/>
        <w:spacing w:before="240" w:after="0"/>
        <w:jc w:val="left"/>
        <w:rPr/>
      </w:pPr>
      <w:r>
        <w:rPr/>
        <w:t>“</w:t>
      </w:r>
      <w:r>
        <w:rPr>
          <w:rFonts w:ascii="Times New Roman" w:hAnsi="Times New Roman"/>
          <w:b/>
          <w:sz w:val="20"/>
        </w:rPr>
        <w:t>Subsidiary Guarantor</w:t>
      </w:r>
      <w:r>
        <w:rPr>
          <w:rFonts w:ascii="Times New Roman" w:hAnsi="Times New Roman"/>
          <w:sz w:val="20"/>
        </w:rPr>
        <w:t xml:space="preserve">” means any of the Issuer’s Subsidiaries which is a Wholly Owned Domestic Subsidiary and any Restricted Subsidiary that is, or becomes pursuant to </w:t>
      </w:r>
      <w:r>
        <w:rPr>
          <w:rFonts w:ascii="Times New Roman" w:hAnsi="Times New Roman"/>
          <w:sz w:val="20"/>
          <w:u w:val="single"/>
        </w:rPr>
        <w:t>Section 5.12</w:t>
      </w:r>
      <w:r>
        <w:rPr>
          <w:rFonts w:ascii="Times New Roman" w:hAnsi="Times New Roman"/>
          <w:sz w:val="20"/>
        </w:rPr>
        <w:t xml:space="preserve">, a party to this Indenture. </w:t>
      </w:r>
    </w:p>
    <w:p>
      <w:pPr>
        <w:pStyle w:val="TextBody"/>
        <w:bidi w:val="0"/>
        <w:spacing w:before="240" w:after="0"/>
        <w:jc w:val="left"/>
        <w:rPr/>
      </w:pPr>
      <w:r>
        <w:rPr/>
        <w:t>“</w:t>
      </w:r>
      <w:r>
        <w:rPr>
          <w:rFonts w:ascii="Times New Roman" w:hAnsi="Times New Roman"/>
          <w:b/>
          <w:sz w:val="20"/>
        </w:rPr>
        <w:t>Tax Change</w:t>
      </w:r>
      <w:r>
        <w:rPr>
          <w:rFonts w:ascii="Times New Roman" w:hAnsi="Times New Roman"/>
          <w:sz w:val="20"/>
        </w:rPr>
        <w:t xml:space="preserve">” means any change in the Code or any other applicable Requirement of Law that would have the effect of changing the amount of Taxes due and payable by Issuer and its Restricted Subsidiaries for any taxable period, as compared to the amount of Taxes that would have been due and payable by Issuer and its Restricted Subsidiaries for such taxable period under the Code or any other Requirements of Law as in effect immediately prior to such change; </w:t>
      </w:r>
      <w:r>
        <w:rPr>
          <w:rFonts w:ascii="Times New Roman" w:hAnsi="Times New Roman"/>
          <w:i/>
          <w:sz w:val="20"/>
        </w:rPr>
        <w:t>provided</w:t>
      </w:r>
      <w:r>
        <w:rPr>
          <w:rFonts w:ascii="Times New Roman" w:hAnsi="Times New Roman"/>
          <w:sz w:val="20"/>
        </w:rPr>
        <w:t xml:space="preserve">, for the avoidance of doubt, that the calculation of a change in Taxes due and payable shall take into account all changes to the Code or any other Requirements of Law. Notwithstanding any other provision contained herein, (a) all terms of an accounting or financial nature used herein shall be construed, and all computations of amounts and ratios referred to herein shall be made, without giving effect to any election under Statement of Financial Accounting Standards 159 or FASB ASC 825 (or any other financial accounting standard having a similar result or effect) to value any Indebtedness or other liabilities of Issuer or any of its Restricted Subsidiaries at “fair value,” as defined therein and (b) the financial ratios and related definitions set forth in the Note Documents shall be computed to exclude the application of Financial Accounting Standards No. 133, 150 or 123(R) or any other financial accounting standard having a similar result or effect (to the extent that the pronouncements in Financial Accounting Standards No. 123(R) result in recording an equity award as a liability on a consolidated balance sheet of Issuer and its Restricted Subsidiaries in the circumstance where, but for the application of the pronouncements, such award would have been classified as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Taxes</w:t>
      </w:r>
      <w:r>
        <w:rPr>
          <w:rFonts w:ascii="Times New Roman" w:hAnsi="Times New Roman"/>
          <w:sz w:val="20"/>
        </w:rPr>
        <w:t xml:space="preserve">” means all present or future taxes, levies, imposts, duties, deductions, withholdings (including backup withholdings),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for any calculation with respect to a SOFR Note, the Term SOFR Reference Rate for a tenor comparable to the applicable Interest Period on the day (such day, the “</w:t>
      </w:r>
      <w:r>
        <w:rPr>
          <w:rFonts w:ascii="Times New Roman" w:hAnsi="Times New Roman"/>
          <w:b/>
          <w:sz w:val="20"/>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120" w:after="0"/>
        <w:jc w:val="left"/>
        <w:rPr>
          <w:rFonts w:ascii="Times New Roman" w:hAnsi="Times New Roman"/>
          <w:sz w:val="20"/>
        </w:rPr>
      </w:pPr>
      <w:r>
        <w:rPr>
          <w:rFonts w:ascii="Times New Roman" w:hAnsi="Times New Roman"/>
          <w:sz w:val="20"/>
        </w:rPr>
        <w:t>(b) for any calculation with respect to an ABR Note on any day, the Term SOFR Reference Rate for a tenor of one (1) month on the day (such day, the “</w:t>
      </w:r>
      <w:r>
        <w:rPr>
          <w:rFonts w:ascii="Times New Roman" w:hAnsi="Times New Roman"/>
          <w:b/>
          <w:sz w:val="20"/>
        </w:rPr>
        <w:t>ABR Term SOFR Determination Day</w:t>
      </w:r>
      <w:r>
        <w:rPr>
          <w:rFonts w:ascii="Times New Roman" w:hAnsi="Times New Roman"/>
          <w:sz w:val="20"/>
        </w:rPr>
        <w:t>” and, together with the Periodic Term SOFR Determination Day, the “</w:t>
      </w:r>
      <w:r>
        <w:rPr>
          <w:rFonts w:ascii="Times New Roman" w:hAnsi="Times New Roman"/>
          <w:b/>
          <w:sz w:val="20"/>
        </w:rPr>
        <w:t>Interest Payment Determination Date</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w:t>
      </w:r>
    </w:p>
    <w:p>
      <w:pPr>
        <w:pStyle w:val="TextBody"/>
        <w:bidi w:val="0"/>
        <w:spacing w:before="240" w:after="0"/>
        <w:jc w:val="left"/>
        <w:rPr>
          <w:rFonts w:ascii="Times New Roman" w:hAnsi="Times New Roman"/>
          <w:sz w:val="20"/>
        </w:rPr>
      </w:pPr>
      <w:r>
        <w:rPr>
          <w:rFonts w:ascii="Times New Roman" w:hAnsi="Times New Roman"/>
          <w:sz w:val="20"/>
        </w:rPr>
        <w:t xml:space="preserve">If Term SOFR as determined above would be less than the Floor, Term SOFR will be deemed to be the Floor. </w:t>
      </w:r>
    </w:p>
    <w:p>
      <w:pPr>
        <w:pStyle w:val="TextBody"/>
        <w:bidi w:val="0"/>
        <w:spacing w:before="240" w:after="0"/>
        <w:jc w:val="left"/>
        <w:rPr/>
      </w:pPr>
      <w:r>
        <w:rPr/>
        <w:t>“</w:t>
      </w:r>
      <w:r>
        <w:rPr>
          <w:rFonts w:ascii="Times New Roman" w:hAnsi="Times New Roman"/>
          <w:b/>
          <w:sz w:val="20"/>
        </w:rPr>
        <w:t>Term SOFR Administrator</w:t>
      </w:r>
      <w:r>
        <w:rPr>
          <w:rFonts w:ascii="Times New Roman" w:hAnsi="Times New Roman"/>
          <w:sz w:val="20"/>
        </w:rPr>
        <w:t xml:space="preserve">” means CME Group Benchmark Administration Limited (CBA) (or a successor administrator of the Term SOFR Reference Rate as selected by the Issuer and approved by the Controlling Party). </w:t>
      </w:r>
    </w:p>
    <w:p>
      <w:pPr>
        <w:pStyle w:val="TextBody"/>
        <w:bidi w:val="0"/>
        <w:spacing w:before="240" w:after="0"/>
        <w:jc w:val="left"/>
        <w:rPr/>
      </w:pPr>
      <w:r>
        <w:rPr/>
        <w:t>“</w:t>
      </w:r>
      <w:r>
        <w:rPr>
          <w:rFonts w:ascii="Times New Roman" w:hAnsi="Times New Roman"/>
          <w:b/>
          <w:sz w:val="20"/>
        </w:rPr>
        <w:t>Term SOFR Reference Rate</w:t>
      </w:r>
      <w:r>
        <w:rPr>
          <w:rFonts w:ascii="Times New Roman" w:hAnsi="Times New Roman"/>
          <w:sz w:val="20"/>
        </w:rPr>
        <w:t xml:space="preserve">” means the forward-looking term rate based on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Test Period</w:t>
      </w:r>
      <w:r>
        <w:rPr>
          <w:rFonts w:ascii="Times New Roman" w:hAnsi="Times New Roman"/>
          <w:sz w:val="20"/>
        </w:rPr>
        <w:t xml:space="preserve">” means, at any time, subject to </w:t>
      </w:r>
      <w:r>
        <w:rPr>
          <w:rFonts w:ascii="Times New Roman" w:hAnsi="Times New Roman"/>
          <w:sz w:val="20"/>
          <w:u w:val="single"/>
        </w:rPr>
        <w:t>Section 1.06</w:t>
      </w:r>
      <w:r>
        <w:rPr>
          <w:rFonts w:ascii="Times New Roman" w:hAnsi="Times New Roman"/>
          <w:sz w:val="20"/>
        </w:rPr>
        <w:t xml:space="preserve">, the four (4) consecutive fiscal quarters of Issuer then last ended (in each case taken as one accounting period) for which financial statements have been or were required to be delivered pursuant to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or, if the initial delivery of financial statements pursuant to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as applicable, has not occurred prior to such time, for which financial statements were delivered on or prior to the Restatement Effective Date. </w:t>
      </w:r>
    </w:p>
    <w:p>
      <w:pPr>
        <w:pStyle w:val="TextBody"/>
        <w:bidi w:val="0"/>
        <w:spacing w:before="240" w:after="0"/>
        <w:jc w:val="left"/>
        <w:rPr/>
      </w:pPr>
      <w:r>
        <w:rPr/>
        <w:t>“</w:t>
      </w:r>
      <w:r>
        <w:rPr>
          <w:rFonts w:ascii="Times New Roman" w:hAnsi="Times New Roman"/>
          <w:b/>
          <w:sz w:val="20"/>
        </w:rPr>
        <w:t>Total Net Leverage Ratio</w:t>
      </w:r>
      <w:r>
        <w:rPr>
          <w:rFonts w:ascii="Times New Roman" w:hAnsi="Times New Roman"/>
          <w:sz w:val="20"/>
        </w:rPr>
        <w:t xml:space="preserve">” means, at any date of determination, the ratio of (a)(x) Consolidated Total Indebtedness of the Issuer and its Restricted Subsidiaries on such date </w:t>
      </w:r>
      <w:r>
        <w:rPr>
          <w:rFonts w:ascii="Times New Roman" w:hAnsi="Times New Roman"/>
          <w:i/>
          <w:sz w:val="20"/>
        </w:rPr>
        <w:t xml:space="preserve">minus </w:t>
      </w:r>
      <w:r>
        <w:rPr>
          <w:rFonts w:ascii="Times New Roman" w:hAnsi="Times New Roman"/>
          <w:sz w:val="20"/>
        </w:rPr>
        <w:t xml:space="preserve">(y) Unrestricted Cash of the Issuer and its Restricted Subsidiaries on such date in an amount not to exceed $25,000,000 to (b) Consolidated EBITDA for the Test Period then most recently ended. </w:t>
      </w:r>
    </w:p>
    <w:p>
      <w:pPr>
        <w:pStyle w:val="TextBody"/>
        <w:bidi w:val="0"/>
        <w:spacing w:before="240" w:after="0"/>
        <w:jc w:val="left"/>
        <w:rPr/>
      </w:pPr>
      <w:r>
        <w:rPr/>
        <w:t>“</w:t>
      </w:r>
      <w:r>
        <w:rPr>
          <w:rFonts w:ascii="Times New Roman" w:hAnsi="Times New Roman"/>
          <w:b/>
          <w:sz w:val="20"/>
        </w:rPr>
        <w:t>Transaction Costs</w:t>
      </w:r>
      <w:r>
        <w:rPr>
          <w:rFonts w:ascii="Times New Roman" w:hAnsi="Times New Roman"/>
          <w:sz w:val="20"/>
        </w:rPr>
        <w:t xml:space="preserve">” has the meaning assigned to such term in the definition of “Transactions”. </w:t>
      </w:r>
    </w:p>
    <w:p>
      <w:pPr>
        <w:pStyle w:val="TextBody"/>
        <w:bidi w:val="0"/>
        <w:spacing w:before="240" w:after="0"/>
        <w:jc w:val="left"/>
        <w:rPr/>
      </w:pPr>
      <w:r>
        <w:rPr/>
        <w:t>“</w:t>
      </w:r>
      <w:r>
        <w:rPr>
          <w:rFonts w:ascii="Times New Roman" w:hAnsi="Times New Roman"/>
          <w:b/>
          <w:sz w:val="20"/>
        </w:rPr>
        <w:t>Transaction Documents</w:t>
      </w:r>
      <w:r>
        <w:rPr>
          <w:rFonts w:ascii="Times New Roman" w:hAnsi="Times New Roman"/>
          <w:sz w:val="20"/>
        </w:rPr>
        <w:t xml:space="preserve">” means the Note Documents. </w:t>
      </w:r>
    </w:p>
    <w:p>
      <w:pPr>
        <w:pStyle w:val="TextBody"/>
        <w:bidi w:val="0"/>
        <w:spacing w:before="240" w:after="0"/>
        <w:jc w:val="left"/>
        <w:rPr/>
      </w:pPr>
      <w:r>
        <w:rPr/>
        <w:t>“</w:t>
      </w:r>
      <w:r>
        <w:rPr>
          <w:rFonts w:ascii="Times New Roman" w:hAnsi="Times New Roman"/>
          <w:b/>
          <w:sz w:val="20"/>
        </w:rPr>
        <w:t>Transactions</w:t>
      </w:r>
      <w:r>
        <w:rPr>
          <w:rFonts w:ascii="Times New Roman" w:hAnsi="Times New Roman"/>
          <w:sz w:val="20"/>
        </w:rPr>
        <w:t>” means, collectively, (a) the transactions to occur on or prior to the Restatement Effective Date pursuant to the Transaction Documents, (b) the execution, delivery and performance of the Transaction Documents, (c) the Rights Offering, and (d) the payment of all fees, premiums, expenses and other transaction costs incurred in connection with the foregoing (the “</w:t>
      </w:r>
      <w:r>
        <w:rPr>
          <w:rFonts w:ascii="Times New Roman" w:hAnsi="Times New Roman"/>
          <w:b/>
          <w:sz w:val="20"/>
        </w:rPr>
        <w:t>Transaction Costs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xml:space="preserve">” has the meaning given to that term in the preamble hereto, and includes each other person appointed as a successor pursuant to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Type</w:t>
      </w:r>
      <w:r>
        <w:rPr>
          <w:rFonts w:ascii="Times New Roman" w:hAnsi="Times New Roman"/>
          <w:sz w:val="20"/>
        </w:rPr>
        <w:t xml:space="preserve">” when used in reference to any Note, means a reference to whether the rate of interest on such Note is determined by reference to Term SOFR or the Alternate Base Rate. </w:t>
      </w:r>
    </w:p>
    <w:p>
      <w:pPr>
        <w:pStyle w:val="TextBody"/>
        <w:bidi w:val="0"/>
        <w:spacing w:before="240" w:after="0"/>
        <w:jc w:val="left"/>
        <w:rPr/>
      </w:pPr>
      <w:r>
        <w:rPr/>
        <w:t>“</w:t>
      </w:r>
      <w:r>
        <w:rPr>
          <w:rFonts w:ascii="Times New Roman" w:hAnsi="Times New Roman"/>
          <w:b/>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b/>
          <w:sz w:val="20"/>
        </w:rPr>
        <w:t>UCC</w:t>
      </w:r>
      <w:r>
        <w:rPr>
          <w:rFonts w:ascii="Times New Roman" w:hAnsi="Times New Roman"/>
          <w:sz w:val="20"/>
        </w:rPr>
        <w:t xml:space="preserve">” means the Uniform Commercial Code as in effect from time to time (except as otherwise specified) in any applicable state or jurisdiction. </w:t>
      </w:r>
    </w:p>
    <w:p>
      <w:pPr>
        <w:pStyle w:val="TextBody"/>
        <w:bidi w:val="0"/>
        <w:spacing w:before="240" w:after="0"/>
        <w:jc w:val="left"/>
        <w:rPr/>
      </w:pPr>
      <w:r>
        <w:rPr/>
        <w:t>“</w:t>
      </w:r>
      <w:r>
        <w:rPr>
          <w:rFonts w:ascii="Times New Roman" w:hAnsi="Times New Roman"/>
          <w:b/>
          <w:sz w:val="20"/>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or “</w:t>
      </w:r>
      <w:r>
        <w:rPr>
          <w:rFonts w:ascii="Times New Roman" w:hAnsi="Times New Roman"/>
          <w:b/>
          <w:sz w:val="20"/>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b/>
          <w:sz w:val="20"/>
        </w:rPr>
        <w:t>Unrestricted Cash</w:t>
      </w:r>
      <w:r>
        <w:rPr>
          <w:rFonts w:ascii="Times New Roman" w:hAnsi="Times New Roman"/>
          <w:sz w:val="20"/>
        </w:rPr>
        <w:t>” means, at any time, the aggregate amount of (a) unrestricted cash and Cash Equivalents held in accounts of Issuer and its Restricted Subsidiaries (whether or not held in an account pledged to the Trustee or Collateral Agent), and (b) cash and Cash Equivalents restricted in favor of lenders of Indebtedness under credit facilities (which shall include any cash and Cash Equivalents securing other Indebtedness secured by a Lien on Collateral along with such credit facilities (</w:t>
      </w:r>
      <w:r>
        <w:rPr>
          <w:rFonts w:ascii="Times New Roman" w:hAnsi="Times New Roman"/>
          <w:i/>
          <w:sz w:val="20"/>
        </w:rPr>
        <w:t>provided</w:t>
      </w:r>
      <w:r>
        <w:rPr>
          <w:rFonts w:ascii="Times New Roman" w:hAnsi="Times New Roman"/>
          <w:sz w:val="20"/>
        </w:rPr>
        <w:t xml:space="preserve">, that, any such Liens are subordinated to or </w:t>
      </w:r>
      <w:r>
        <w:rPr>
          <w:rFonts w:ascii="Times New Roman" w:hAnsi="Times New Roman"/>
          <w:i/>
          <w:sz w:val="20"/>
        </w:rPr>
        <w:t>pari passu</w:t>
      </w:r>
      <w:r>
        <w:rPr>
          <w:rFonts w:ascii="Times New Roman" w:hAnsi="Times New Roman"/>
          <w:sz w:val="20"/>
        </w:rPr>
        <w:t xml:space="preserve"> with the Liens in favor of the Trustee or Collateral Agent), including any Indebtedness incurred under this Indenture and the other Note Documents or the ABL Credit Agreement and the other ABL Documents); </w:t>
      </w:r>
      <w:r>
        <w:rPr>
          <w:rFonts w:ascii="Times New Roman" w:hAnsi="Times New Roman"/>
          <w:i/>
          <w:sz w:val="20"/>
        </w:rPr>
        <w:t>provided</w:t>
      </w:r>
      <w:r>
        <w:rPr>
          <w:rFonts w:ascii="Times New Roman" w:hAnsi="Times New Roman"/>
          <w:sz w:val="20"/>
        </w:rPr>
        <w:t xml:space="preserve">, that, for the avoidance of doubt, the proceeds of an Equity Cure Contribution shall not be included in this definition of Unrestricted Cash as of the last day of the fiscal quarter with respect to which such Equity Cure Contribution was made for any calculation of the Total Net Leverage Ratio for purposes of determining compliance with </w:t>
      </w:r>
      <w:r>
        <w:rPr>
          <w:rFonts w:ascii="Times New Roman" w:hAnsi="Times New Roman"/>
          <w:sz w:val="20"/>
          <w:u w:val="single"/>
        </w:rPr>
        <w:t>Section 6.08(a)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Unrestricted Subsidiary</w:t>
      </w:r>
      <w:r>
        <w:rPr>
          <w:rFonts w:ascii="Times New Roman" w:hAnsi="Times New Roman"/>
          <w:sz w:val="20"/>
        </w:rPr>
        <w:t xml:space="preserve">” means (a) any Subsidiary of the Issuer that is formed or acquired after the Closing Date and for which the Unrestricted Subsidiary Holder Consent has been obtained, (b) any Restricted Subsidiary subsequently designated as an Unrestricted Subsidiary by the Issuer and for which the Unrestricted Subsidiary Holder Consent has been obtained, and (c) each Subsidiary of an Unrestricted Subsidiary; </w:t>
      </w:r>
      <w:r>
        <w:rPr>
          <w:rFonts w:ascii="Times New Roman" w:hAnsi="Times New Roman"/>
          <w:i/>
          <w:sz w:val="20"/>
        </w:rPr>
        <w:t>provided</w:t>
      </w:r>
      <w:r>
        <w:rPr>
          <w:rFonts w:ascii="Times New Roman" w:hAnsi="Times New Roman"/>
          <w:sz w:val="20"/>
        </w:rPr>
        <w:t xml:space="preserve"> that in the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(I) such designation shall be deemed to be an Investment made on the date of such designation in an amount equal to the fair market value of the investment therein (as determined in good faith by the Issuer) and such designation shall be permitted only to the extent permitted under </w:t>
      </w:r>
      <w:r>
        <w:rPr>
          <w:rFonts w:ascii="Times New Roman" w:hAnsi="Times New Roman"/>
          <w:sz w:val="20"/>
          <w:u w:val="single"/>
        </w:rPr>
        <w:t>Section 6.03</w:t>
      </w:r>
      <w:r>
        <w:rPr>
          <w:rFonts w:ascii="Times New Roman" w:hAnsi="Times New Roman"/>
          <w:sz w:val="20"/>
        </w:rPr>
        <w:t xml:space="preserve"> on the date of such designation, (II) there shall not be an Unrestricted Subsidiary designated hereunder that is not also designated as an Unrestricted Subsidiary (or similar equivalent term) under the ABL Credit Agreement and under any documentation governing any Permitted Additional Debt or other Indebtedness, in each case, with an individual outstanding principal amount exceeding $5,000,000, (III) no Default or Event of Default shall have occurred and be continuing or would immediately result from such designation after giving pro forma effect thereto (including to the re-designation of Indebtedness and Liens on the assets of such Subsidiary as Indebtedness and Liens on assets of an Unrestricted Subsidiary) and (IV) no Unrestricted Subsidiary may own or hold, and none of the Issuer or any of the Restricted Subsidiaries may transfer (including by granting an exclusive license) or contribute to any Unrestricted Subsidiary, any asset that is material to the business of the Issuer and its Subsidiaries taken as a whole. The Issuer may, by written notice to the Trustee, re-designate any Unrestricted Subsidiary as a Restricted Subsidiary (which shall constitute a reduction in any outstanding Investment) (but may thereafter not re-designate such Subsidiary as an Unrestricted Subsidiary), and thereafter, such Subsidiary shall no longer constitute an Unrestricted Subsidiary, but only if no Event of Default would immediately result from such re-designation (including the re-designation of Indebtedness and Liens on the assets of such Subsidiary as Indebtedness and Liens on assets of a Restricted Subsidiary and the deemed return on any Investment in such Unrestricted Subsidiary pursuant to </w:t>
      </w:r>
      <w:r>
        <w:rPr>
          <w:rFonts w:ascii="Times New Roman" w:hAnsi="Times New Roman"/>
          <w:sz w:val="20"/>
          <w:u w:val="single"/>
        </w:rPr>
        <w:t>clause (y)</w:t>
      </w:r>
      <w:r>
        <w:rPr>
          <w:rFonts w:ascii="Times New Roman" w:hAnsi="Times New Roman"/>
          <w:sz w:val="20"/>
        </w:rPr>
        <w:t>). The designation of any Unrestricted Subsidiary as a Restricted Subsidiary shall constitute (x) the incurrence by such Restricted Subsidiary at the time of such 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and (y) constitute a return on any Investment by the Issuer in such Unrestricted Subsidiary in an amount equal to the fair market value (as determined in good faith by the Issuer) at the date of such prior designation of such Restricted Subsidiary as an Unrestricted Subsidiary (</w:t>
      </w:r>
      <w:r>
        <w:rPr>
          <w:rFonts w:ascii="Times New Roman" w:hAnsi="Times New Roman"/>
          <w:i/>
          <w:sz w:val="20"/>
        </w:rPr>
        <w:t>provided</w:t>
      </w:r>
      <w:r>
        <w:rPr>
          <w:rFonts w:ascii="Times New Roman" w:hAnsi="Times New Roman"/>
          <w:sz w:val="20"/>
        </w:rPr>
        <w:t xml:space="preserve"> that the foregoing is without duplication of any increase to the Cumulative Amount pursuant to </w:t>
      </w:r>
      <w:r>
        <w:rPr>
          <w:rFonts w:ascii="Times New Roman" w:hAnsi="Times New Roman"/>
          <w:sz w:val="20"/>
          <w:u w:val="single"/>
        </w:rPr>
        <w:t>clause (viii)</w:t>
      </w:r>
      <w:r>
        <w:rPr>
          <w:rFonts w:ascii="Times New Roman" w:hAnsi="Times New Roman"/>
          <w:sz w:val="20"/>
        </w:rPr>
        <w:t xml:space="preserve"> of the definition thereof). As of the Closing Date, none of the Subsidiaries of the Issuer is an Unrestricted Subsidiary, and in no event shall the Issuer become an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Unrestricted Subsidiary Holder Consent</w:t>
      </w:r>
      <w:r>
        <w:rPr>
          <w:rFonts w:ascii="Times New Roman" w:hAnsi="Times New Roman"/>
          <w:sz w:val="20"/>
        </w:rPr>
        <w:t xml:space="preserve">” means the prior written consent of the Controlling Parties, provided at their sole discretion, in response to a written request from the Issuer to the Controlling Parties and the Trustee (which may be made by e-mail) to designate a Subsidiary or Restricted Subsidiary as an Unrestricted Subsidiary hereunder; provided, that (a) such request includes a certification of a Responsible Officer of the Issuer specifying that all of the applicable conditions set forth in the first proviso of the definition of “Unrestricted Subsidiary” have been satisfied and (b) if the Controlling Parties do not provide a response to such written request within 10 Business Days of the date on which such request is received by the Controlling Parties and the Trustee, the Controlling Parties shall be deemed to have provided their consent to such designation. </w:t>
      </w:r>
    </w:p>
    <w:p>
      <w:pPr>
        <w:pStyle w:val="TextBody"/>
        <w:bidi w:val="0"/>
        <w:spacing w:before="240" w:after="0"/>
        <w:jc w:val="left"/>
        <w:rPr/>
      </w:pPr>
      <w:r>
        <w:rPr/>
        <w:t>“</w:t>
      </w:r>
      <w:r>
        <w:rPr>
          <w:rFonts w:ascii="Times New Roman" w:hAnsi="Times New Roman"/>
          <w:b/>
          <w:sz w:val="20"/>
        </w:rPr>
        <w:t>Unsecured Indebtedness</w:t>
      </w:r>
      <w:r>
        <w:rPr>
          <w:rFonts w:ascii="Times New Roman" w:hAnsi="Times New Roman"/>
          <w:sz w:val="20"/>
        </w:rPr>
        <w:t xml:space="preserve">” means unsecured Indebtedness for borrowed money of the Note Parties and their Restricted Subsidiaries. </w:t>
      </w:r>
    </w:p>
    <w:p>
      <w:pPr>
        <w:pStyle w:val="TextBody"/>
        <w:bidi w:val="0"/>
        <w:spacing w:before="240" w:after="0"/>
        <w:jc w:val="left"/>
        <w:rPr/>
      </w:pPr>
      <w:r>
        <w:rPr/>
        <w:t>“</w:t>
      </w:r>
      <w:r>
        <w:rPr>
          <w:rFonts w:ascii="Times New Roman" w:hAnsi="Times New Roman"/>
          <w:b/>
          <w:sz w:val="20"/>
        </w:rPr>
        <w:t>Vice President</w:t>
      </w:r>
      <w:r>
        <w:rPr>
          <w:rFonts w:ascii="Times New Roman" w:hAnsi="Times New Roman"/>
          <w:sz w:val="20"/>
        </w:rPr>
        <w:t xml:space="preserve">”, when used with respect to the Issuer, means any vice president, whether or not designated by a number or a word or words added before or after the title “vice president”.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means, with respect to any person, any class or classes of Equity Interests pursuant to which the holders thereof have the general voting power under ordinary circumstances to elect at least a majority of the Board of Directors of such person. </w:t>
      </w:r>
    </w:p>
    <w:p>
      <w:pPr>
        <w:pStyle w:val="TextBody"/>
        <w:bidi w:val="0"/>
        <w:spacing w:before="240" w:after="0"/>
        <w:jc w:val="left"/>
        <w:rPr/>
      </w:pPr>
      <w:r>
        <w:rPr/>
        <w:t>“</w:t>
      </w:r>
      <w:r>
        <w:rPr>
          <w:rFonts w:ascii="Times New Roman" w:hAnsi="Times New Roman"/>
          <w:b/>
          <w:sz w:val="20"/>
        </w:rPr>
        <w:t>Warrants</w:t>
      </w:r>
      <w:r>
        <w:rPr>
          <w:rFonts w:ascii="Times New Roman" w:hAnsi="Times New Roman"/>
          <w:sz w:val="20"/>
        </w:rPr>
        <w:t xml:space="preserve">” means the warrants to purchase shares of Common Stock to be issued to the applicable Holders pursuant to the Securities Purchase Agreement. </w:t>
      </w:r>
    </w:p>
    <w:p>
      <w:pPr>
        <w:pStyle w:val="TextBody"/>
        <w:bidi w:val="0"/>
        <w:spacing w:before="240" w:after="0"/>
        <w:jc w:val="left"/>
        <w:rPr/>
      </w:pPr>
      <w:r>
        <w:rPr/>
        <w:t>“</w:t>
      </w:r>
      <w:r>
        <w:rPr>
          <w:rFonts w:ascii="Times New Roman" w:hAnsi="Times New Roman"/>
          <w:b/>
          <w:sz w:val="20"/>
        </w:rPr>
        <w:t>Weighted Average Life to Maturity</w:t>
      </w:r>
      <w:r>
        <w:rPr>
          <w:rFonts w:ascii="Times New Roman" w:hAnsi="Times New Roman"/>
          <w:sz w:val="20"/>
        </w:rPr>
        <w:t xml:space="preserve">”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hAnsi="Times New Roman"/>
          <w:i/>
          <w:sz w:val="20"/>
        </w:rPr>
        <w:t>provided</w:t>
      </w:r>
      <w:r>
        <w:rPr>
          <w:rFonts w:ascii="Times New Roman" w:hAnsi="Times New Roman"/>
          <w:sz w:val="20"/>
        </w:rPr>
        <w:t xml:space="preserve">, that, for purposes of determining the Weighted Average Life to Maturity of any Indebtedness or Disqualified Capital Stock that is being modified, refinanced, refunded, renewed, replaced or extended, the effects of any prepayments or amortization made on such Indebtedness or Disqualified Capital Stock prior to the date of the applicable modification, refinancing, refunding, renewal, replacement or extension shall be disregarded. </w:t>
      </w:r>
    </w:p>
    <w:p>
      <w:pPr>
        <w:pStyle w:val="TextBody"/>
        <w:bidi w:val="0"/>
        <w:spacing w:before="240" w:after="0"/>
        <w:jc w:val="left"/>
        <w:rPr/>
      </w:pPr>
      <w:r>
        <w:rPr/>
        <w:t>“</w:t>
      </w:r>
      <w:r>
        <w:rPr>
          <w:rFonts w:ascii="Times New Roman" w:hAnsi="Times New Roman"/>
          <w:b/>
          <w:sz w:val="20"/>
        </w:rPr>
        <w:t>Wholly Owned Domestic Subsidiary</w:t>
      </w:r>
      <w:r>
        <w:rPr>
          <w:rFonts w:ascii="Times New Roman" w:hAnsi="Times New Roman"/>
          <w:sz w:val="20"/>
        </w:rPr>
        <w:t xml:space="preserve">” means, at any date a Wholly Owned Subsidiary which is a Domestic Subsidiary at such date. </w:t>
      </w:r>
    </w:p>
    <w:p>
      <w:pPr>
        <w:pStyle w:val="TextBody"/>
        <w:bidi w:val="0"/>
        <w:spacing w:before="240" w:after="0"/>
        <w:jc w:val="left"/>
        <w:rPr/>
      </w:pPr>
      <w:r>
        <w:rPr/>
        <w:t>“</w:t>
      </w:r>
      <w:r>
        <w:rPr>
          <w:rFonts w:ascii="Times New Roman" w:hAnsi="Times New Roman"/>
          <w:b/>
          <w:sz w:val="20"/>
        </w:rPr>
        <w:t>Wholly Owned Restricted Subsidiary</w:t>
      </w:r>
      <w:r>
        <w:rPr>
          <w:rFonts w:ascii="Times New Roman" w:hAnsi="Times New Roman"/>
          <w:sz w:val="20"/>
        </w:rPr>
        <w:t xml:space="preserve">” means, at any date a Wholly Owned Subsidiary which is a Restricted Subsidiary at such date.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means, with respect to any Person at any date, any Subsidiary of such Person all of the shares of capital stock or other ownership interests of which (except directors’ qualifying shares or other nominal issuance in order to comply with local laws) are at the time directly or indirectly owned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Notes</w:t>
      </w:r>
      <w:r>
        <w:rPr>
          <w:rFonts w:ascii="Times New Roman" w:hAnsi="Times New Roman"/>
          <w:sz w:val="20"/>
        </w:rPr>
        <w:t>. For purposes of this Indenture, Notes may be classified and referred to by Type (</w:t>
      </w:r>
      <w:r>
        <w:rPr>
          <w:rFonts w:ascii="Times New Roman" w:hAnsi="Times New Roman"/>
          <w:i/>
          <w:sz w:val="20"/>
        </w:rPr>
        <w:t>e.g.</w:t>
      </w:r>
      <w:r>
        <w:rPr>
          <w:rFonts w:ascii="Times New Roman" w:hAnsi="Times New Roman"/>
          <w:sz w:val="20"/>
        </w:rPr>
        <w:t>, a “</w:t>
      </w:r>
      <w:r>
        <w:rPr>
          <w:rFonts w:ascii="Times New Roman" w:hAnsi="Times New Roman"/>
          <w:b/>
          <w:sz w:val="20"/>
        </w:rPr>
        <w:t>SOFR Note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Note Document, agreement, instrument or other document herein shall be construed as referring to such agreement, instrument or other document as from time to time amended, restated, amended and restated, supplemented, replaced or otherwise modified (subject to any restrictions on such amendments, supplements, replacements or modifications set forth herein or any Intercreditor Agreement), (ii) any reference herein to any person shall be construed to include such person’s successors and assigns (subject to any restrictions on assignments set forth herein), (iii) the words “herein,” “hereof” and “hereunder,” and words of similar import, shall be construed to refer to this Indenture in its entirety and not to any particular provision hereof, (iv) all references herein to Articles, Sections, Exhibits and Schedules shall be construed to refer to Articles and Sections of, and Exhibits and Schedules to, this Indenture, (v) any reference to any law or regulation herein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references to the knowledge of any Group Member or facts known by any Group Member shall mean actual knowledge of any Responsible Officer of such Person. Any Responsible Officer executing any Note Document or any certificate or other document made or delivered pursuant hereto or thereto, so executes or certifies in his/her capacity as a Responsible Officer on behalf of the applicable Note Party and not in any individual capacity. </w:t>
      </w:r>
    </w:p>
    <w:p>
      <w:pPr>
        <w:pStyle w:val="TextBody"/>
        <w:bidi w:val="0"/>
        <w:spacing w:before="240" w:after="0"/>
        <w:jc w:val="left"/>
        <w:rPr>
          <w:rFonts w:ascii="Times New Roman" w:hAnsi="Times New Roman"/>
          <w:sz w:val="20"/>
        </w:rPr>
      </w:pPr>
      <w:r>
        <w:rPr>
          <w:rFonts w:ascii="Times New Roman" w:hAnsi="Times New Roman"/>
          <w:sz w:val="20"/>
        </w:rPr>
        <w:t xml:space="preserve">(b) The term “enforceability” and its derivatives when used to describe the enforceability of an agreement shall mean that such agreement is enforceable except as enforceability may be limited by any Debtor Relief Law and by general equitable principles (whether enforcement is sought by proceedings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(c) Any terms used in this Indenture that are defined in the UCC shall be construed and defined as set forth in the UCC unless otherwise defined herein; </w:t>
      </w:r>
      <w:r>
        <w:rPr>
          <w:rFonts w:ascii="Times New Roman" w:hAnsi="Times New Roman"/>
          <w:i/>
          <w:sz w:val="20"/>
        </w:rPr>
        <w:t>provided</w:t>
      </w:r>
      <w:r>
        <w:rPr>
          <w:rFonts w:ascii="Times New Roman" w:hAnsi="Times New Roman"/>
          <w:sz w:val="20"/>
        </w:rPr>
        <w:t xml:space="preserve">, that, to the extent that the UCC is used to define any term herein and such term is defined differently in different Articles of the UCC, the definition of such term contained in Article 9 of the UCC shall govern. </w:t>
      </w:r>
    </w:p>
    <w:p>
      <w:pPr>
        <w:pStyle w:val="TextBody"/>
        <w:bidi w:val="0"/>
        <w:spacing w:before="240" w:after="0"/>
        <w:jc w:val="left"/>
        <w:rPr>
          <w:rFonts w:ascii="Times New Roman" w:hAnsi="Times New Roman"/>
          <w:sz w:val="20"/>
        </w:rPr>
      </w:pPr>
      <w:r>
        <w:rPr>
          <w:rFonts w:ascii="Times New Roman" w:hAnsi="Times New Roman"/>
          <w:sz w:val="20"/>
        </w:rPr>
        <w:t xml:space="preserve">(d) 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amalgamation, consolidation, assignment, sale or transfer, or similar term, as applicable, to, of or with a separate Person. Any division of a limited liability company shall constitute a separate Person hereunder (and each division of any limited liability company that is a Subsidiary, Restricted Subsidiary, Unrestricted Subsidiary, joint venture or any other like term shall also constitute such a Person or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References in this Indenture to the “principal amount” of the Notes shall in all circumstances include the amount of PIK Interest that has been added to the outstanding principal amount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herein, nothing herein shall prohibit or restrict (i) any Subsidiary that is not a Note Party from dividing or sub-dividing into one or more divisions or (ii) any Note Party from dividing or sub-dividing into one or more divisions so long as (A) the divided or sub-divided entities are both Note Parties or (B) at such time, applicable basket capacity (or flexibility, as applicable) would be available pursuant to </w:t>
      </w:r>
      <w:r>
        <w:rPr>
          <w:rFonts w:ascii="Times New Roman" w:hAnsi="Times New Roman"/>
          <w:sz w:val="20"/>
          <w:u w:val="single"/>
        </w:rPr>
        <w:t>Section 6.03</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or </w:t>
      </w:r>
      <w:r>
        <w:rPr>
          <w:rFonts w:ascii="Times New Roman" w:hAnsi="Times New Roman"/>
          <w:sz w:val="20"/>
          <w:u w:val="single"/>
        </w:rPr>
        <w:t>6.06</w:t>
      </w:r>
      <w:r>
        <w:rPr>
          <w:rFonts w:ascii="Times New Roman" w:hAnsi="Times New Roman"/>
          <w:sz w:val="20"/>
        </w:rPr>
        <w:t xml:space="preserve"> (as applicable) to give effect to such division or sub-division as if the creation of such division or sub-division constituted an Investment, disposition, merger, transfer, consolidation, amalgamation, assignment, sale or dividend, in each case, as and to the extent applicable (and, for the avoidance of doubt, such division or sub-division made in reliance on this </w:t>
      </w:r>
      <w:r>
        <w:rPr>
          <w:rFonts w:ascii="Times New Roman" w:hAnsi="Times New Roman"/>
          <w:sz w:val="20"/>
          <w:u w:val="single"/>
        </w:rPr>
        <w:t>clause (B)</w:t>
      </w:r>
      <w:r>
        <w:rPr>
          <w:rFonts w:ascii="Times New Roman" w:hAnsi="Times New Roman"/>
          <w:sz w:val="20"/>
        </w:rPr>
        <w:t xml:space="preserve"> shall be deemed to constitute a utilization of the applicable basket capacity (or flexibility, as applicable) for the purposes of this Indenture and the other Note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 GAAP; Tax Laws</w:t>
      </w:r>
      <w:r>
        <w:rPr>
          <w:rFonts w:ascii="Times New Roman" w:hAnsi="Times New Roman"/>
          <w:sz w:val="20"/>
        </w:rPr>
        <w:t xml:space="preserve">. Except as otherwise expressly provided herein, all financial statements to be delivered pursuant to this Indenture shall be prepared in accordance with GAAP as in effect from time to time and all terms of an accounting or financial nature shall be construed and interpreted in accordance with GAAP, as in effect on the date hereof. If at any time any change in GAAP or Tax Change would affect the computation of any financial ratio, standard or term set forth in any Note Document, and the Issuer or the Controlling Parties shall so request, the Controlling Parties and the Issuer shall negotiate in good faith to amend such ratio, standard or term to preserve the original intent thereof in light of such change in GAAP or Tax Change (subject to approval by the Issuer); </w:t>
      </w:r>
      <w:r>
        <w:rPr>
          <w:rFonts w:ascii="Times New Roman" w:hAnsi="Times New Roman"/>
          <w:i/>
          <w:sz w:val="20"/>
        </w:rPr>
        <w:t>provided</w:t>
      </w:r>
      <w:r>
        <w:rPr>
          <w:rFonts w:ascii="Times New Roman" w:hAnsi="Times New Roman"/>
          <w:sz w:val="20"/>
        </w:rPr>
        <w:t xml:space="preserve">, that, until so amended, such ratio, standard or term shall continue to be computed in accordance with GAAP immediately prior to such change therein or, in the case of a Tax Change, as if the Applicable Tax Laws immediately prior to such change therein continued to apply, and the Issuer shall provide to the Trustee and the Holders within five (5) days after delivery of each certificate or financial report required hereunder that is affected thereby a written statement of a Financial Officer of Issuer setting forth in reasonable detail the differences (including any differences that would affect any calculations relating to the Financial Covenants as set forth in </w:t>
      </w:r>
      <w:r>
        <w:rPr>
          <w:rFonts w:ascii="Times New Roman" w:hAnsi="Times New Roman"/>
          <w:sz w:val="20"/>
          <w:u w:val="single"/>
        </w:rPr>
        <w:t>Section 6.08</w:t>
      </w:r>
      <w:r>
        <w:rPr>
          <w:rFonts w:ascii="Times New Roman" w:hAnsi="Times New Roman"/>
          <w:sz w:val="20"/>
        </w:rPr>
        <w:t xml:space="preserve">) that would have resulted if such financial statements had been prepared giving effect to such change;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to the extent any such change would have a negative impact on the Issuer with respect to any ratio, financial calculation, financial reporting items or requirement computation, the Issuer may (in its sole discretion) elect to compute or report such ratio, financial calculation, financial reporting item or requirement in accordance with GAAP and/or the Applicable Tax Laws, as the case may be, as changed and accordingly, if such an election is made, the Issuer shall not be required to deliver the written statement described in the immediately preceding proviso with respect thereto. Notwithstanding anything to the contrary, for all purposes under this Indenture and the other Note Documents, including negative covenants, financial covenants and component definitions, GAAP will be deemed to treat operating leases and Capital Leases in a manner consistent with their current treatment under GAAP as in effect on the Restatement Effective Date, notwithstanding any modifications or interpretive changes thereto that may occur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herein, all financial ratios and tests (including the Total Net Leverage Ratio and the amount of Consolidated Total Assets and Consolidated EBITDA) contained in this Indenture (other than for purposes of calculating Excess Cash Flow)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(a) any Subject Transaction shall have occurred or (b) any Person that subsequently became a Restricted Subsidiary or was merged, amalgamated or consolidated with or into Issuer or any of its Restricted Subsidiaries since the beginning of such Test Period shall have consummated any Subject Transaction, then, in each case, any applicable financial ratio or test shall be calculated on a Pro Forma Basis for such Test Period as if such Subject Transaction had occurred at the beginning of the applicable Test Period (it being understood, for the avoidance of doubt, that solely for purposes of calculating quarterly compliance with </w:t>
      </w:r>
      <w:r>
        <w:rPr>
          <w:rFonts w:ascii="Times New Roman" w:hAnsi="Times New Roman"/>
          <w:sz w:val="20"/>
          <w:u w:val="single"/>
        </w:rPr>
        <w:t>Section 6.08</w:t>
      </w:r>
      <w:r>
        <w:rPr>
          <w:rFonts w:ascii="Times New Roman" w:hAnsi="Times New Roman"/>
          <w:sz w:val="20"/>
        </w:rPr>
        <w:t xml:space="preserve">, the date of the required calculation shall be the last day of the Test Period, and no Subject Transaction occurring thereafter shall be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Other than as provided in </w:t>
      </w:r>
      <w:r>
        <w:rPr>
          <w:rFonts w:ascii="Times New Roman" w:hAnsi="Times New Roman"/>
          <w:sz w:val="20"/>
          <w:u w:val="single"/>
        </w:rPr>
        <w:t>Section 1.06</w:t>
      </w:r>
      <w:r>
        <w:rPr>
          <w:rFonts w:ascii="Times New Roman" w:hAnsi="Times New Roman"/>
          <w:sz w:val="20"/>
        </w:rPr>
        <w:t xml:space="preserve">, for purposes of determining the permissibility of any action, change, transaction or event that by the terms of the Note Documents requires a calculation of any financial ratio or test (including the Total Net Leverage Ratio and the amount of Consolidated EBITDA and Consolidated Total Assets), (i) such financial ratio or test shall be calculated at the time such action is taken,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 and (ii) such financial ratio or test shall be calculated (on a Pro Forma Basis if applicable) using the most recent financial statements which have been delivered by the Note Parties in accordance with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to the extent compliance with a financial ratio or test is calculated prior to the date financial statements are first delivered under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such calculation shall use the Initial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the defined terms “Secured Net Leverage Ratio”, “Total Net Leverage Ratio”, “Consolidated Total Assets” and “Consolidated EBITDA” when used in this Indenture or any other Note Document shall be deemed to refer to such ratio or amount with respect to the Group Members unless otherwise expressly set forth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delivery of the financial statements in respect of the fiscal quarter of Issuer ended September 30, 2026, any provision requiring the compliance with the Financial Covenants on a Pro Forma Basis shall be made assuming that compliance with such Financial Covenants set forth in </w:t>
      </w:r>
      <w:r>
        <w:rPr>
          <w:rFonts w:ascii="Times New Roman" w:hAnsi="Times New Roman"/>
          <w:sz w:val="20"/>
          <w:u w:val="single"/>
        </w:rPr>
        <w:t>Section 6.08</w:t>
      </w:r>
      <w:r>
        <w:rPr>
          <w:rFonts w:ascii="Times New Roman" w:hAnsi="Times New Roman"/>
          <w:sz w:val="20"/>
        </w:rPr>
        <w:t xml:space="preserve"> for the Test Period ending on September 30, 2026 is required with respect to the most recently ended Test Period prior to such time before delivery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Limited Condition Acquisition</w:t>
      </w:r>
      <w:r>
        <w:rPr>
          <w:rFonts w:ascii="Times New Roman" w:hAnsi="Times New Roman"/>
          <w:sz w:val="20"/>
        </w:rPr>
        <w:t xml:space="preserve">. Notwithstanding anything to the contrary herein, for purposes of (a) measuring the relevant ratios (including the Total Net Leverage Ratio (including, without limitation, for purposes of determining pro forma compliance with the Financial Covenants as a condition to effecting any such transaction)) and baskets (including baskets measured as a percentage of Consolidated EBITDA or Consolidated Total Assets) with respect to the incurrence of any Indebtedness (including any Additional Notes and Permitted Additional Debt but excluding ABL Loans) or Liens or the making of any Permitted Acquisitions or other similar Investments or (b) determining compliance with representations and warranties or the occurrence of any Default or Event of Default, in the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in connection with a Limited Condition Acquisition, if the Issuer has made an LCT Election with respect to such Limited Condition Acquisition, the date of determination of whether any such action is permitted hereunder (including, in the case of calculating Consolidated EBITDA, the reference date for determining which Test Period shall be the most recently ended Test Period for purposes of making such calculation) shall be deemed to be the date the definitive agreements for (or in the case of a Limited Condition Acquisition that involves some other manner of establishing a binding obligation (including, without limitation under local law), such other binding obligations to consummate) such Limited Condition Acquisition are entered into or, at the Issuer’s election, the date the applicable Limited Condition Acquisition is declared (including through public announcement) (the “</w:t>
      </w:r>
      <w:r>
        <w:rPr>
          <w:rFonts w:ascii="Times New Roman" w:hAnsi="Times New Roman"/>
          <w:b/>
          <w:sz w:val="20"/>
        </w:rPr>
        <w:t>LCT Test Date</w:t>
      </w:r>
      <w:r>
        <w:rPr>
          <w:rFonts w:ascii="Times New Roman" w:hAnsi="Times New Roman"/>
          <w:sz w:val="20"/>
        </w:rPr>
        <w:t xml:space="preserve">”), and if, after giving pro forma effect to such Limited Condition Acquisition and the other transactions to be entered into in connection therewith as if they had occurred at the beginning of the most recent Test Period ending prior to the LCT Test Date, the Group Members could have taken such action on the relevant LCT Test Date in compliance with such ratio, basket, representation and warranty, or Default or Event of Default “blocker” such ratio, basket, or representation and warranty or Default or Event of Default “blocker” shall be deemed to have been complied with (and no Default or Event of Default shall be deemed to have arisen thereafter with respect to such Limited Condition Acquisition from any such failure to comply with such ratio, basket, or representation and warranty). For the avoidance of doubt, if the Issuer has made an LCT Election and any of the ratios, baskets, Default or Event of Default “blockers” or representations and warranties for which compliance was determined or tested as of the LCT Test Date would thereafter have failed to have been satisfied as a result of fluctuations in any such ratio or basket, including due to fluctuations in Consolidated EBITDA, Unrestricted Cash, Consolidated Total Indebtedness or Consolidated Total Assets or otherwise, at or prior to the consummation of the relevant transaction or action, such baskets, ratios or representations and warranties will not be deemed to have failed to have been satisfied as a result of such fluctuations or otherwise. If the Issuer has made an LCT Election for any Limited Condition Acquisition, then in connection with any subsequent calculation of any ratio or basket on or following the relevant LCT Test Date and prior to the earlier of (i) the date on which such Limited Condition Acquisition is consummated or (ii) the date that the definitive agreement for (or in the case of a Limited Condition Acquisition that involves some other manner of establishing a binding obligation under local law, such other binding obligations to consummate) such Limited Condition Acquisition is terminated or expires, in each case without consummation of such Limited Condition Acquisition, any such ratio (other than the Financial Covenant under </w:t>
      </w:r>
      <w:r>
        <w:rPr>
          <w:rFonts w:ascii="Times New Roman" w:hAnsi="Times New Roman"/>
          <w:sz w:val="20"/>
          <w:u w:val="single"/>
        </w:rPr>
        <w:t>Section 6.08(a)</w:t>
      </w:r>
      <w:r>
        <w:rPr>
          <w:rFonts w:ascii="Times New Roman" w:hAnsi="Times New Roman"/>
          <w:sz w:val="20"/>
        </w:rPr>
        <w:t xml:space="preserve">) or basket shall be calculated on a Pro Forma Basis assuming such Limited Condition Acquisition and other transactions in connection therewith (including any incurrence of Indebtedness and the use of proceeds thereof) have been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Times of Day</w:t>
      </w:r>
      <w:r>
        <w:rPr>
          <w:rFonts w:ascii="Times New Roman" w:hAnsi="Times New Roman"/>
          <w:sz w:val="20"/>
        </w:rPr>
        <w:t xml:space="preserve">. Unless otherwise specified, all references herein to times of day shall be references to New York City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Deliveries</w:t>
      </w:r>
      <w:r>
        <w:rPr>
          <w:rFonts w:ascii="Times New Roman" w:hAnsi="Times New Roman"/>
          <w:sz w:val="20"/>
        </w:rPr>
        <w:t xml:space="preserve">. Notwithstanding anything herein to the contrary, whenever any document, agreement, payment or other item is required by any Note Document to be delivered, made or completed on a day that is not a Business Day, the due date thereof shall be extended to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Schedules and Exhibits</w:t>
      </w:r>
      <w:r>
        <w:rPr>
          <w:rFonts w:ascii="Times New Roman" w:hAnsi="Times New Roman"/>
          <w:sz w:val="20"/>
        </w:rPr>
        <w:t xml:space="preserve">. All of the schedules and exhibits attached to this Indenture shall be deemed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Currency Generally</w:t>
      </w:r>
      <w:r>
        <w:rPr>
          <w:rFonts w:ascii="Times New Roman" w:hAnsi="Times New Roman"/>
          <w:sz w:val="20"/>
        </w:rPr>
        <w:t xml:space="preserve">. For purposes of determining compliance with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w:t>
      </w:r>
      <w:r>
        <w:rPr>
          <w:rFonts w:ascii="Times New Roman" w:hAnsi="Times New Roman"/>
          <w:sz w:val="20"/>
          <w:u w:val="single"/>
        </w:rPr>
        <w:t>6.06</w:t>
      </w:r>
      <w:r>
        <w:rPr>
          <w:rFonts w:ascii="Times New Roman" w:hAnsi="Times New Roman"/>
          <w:sz w:val="20"/>
        </w:rPr>
        <w:t xml:space="preserve">, </w:t>
      </w:r>
      <w:r>
        <w:rPr>
          <w:rFonts w:ascii="Times New Roman" w:hAnsi="Times New Roman"/>
          <w:sz w:val="20"/>
          <w:u w:val="single"/>
        </w:rPr>
        <w:t>6.07</w:t>
      </w:r>
      <w:r>
        <w:rPr>
          <w:rFonts w:ascii="Times New Roman" w:hAnsi="Times New Roman"/>
          <w:sz w:val="20"/>
        </w:rPr>
        <w:t xml:space="preserve"> or </w:t>
      </w:r>
      <w:r>
        <w:rPr>
          <w:rFonts w:ascii="Times New Roman" w:hAnsi="Times New Roman"/>
          <w:sz w:val="20"/>
          <w:u w:val="single"/>
        </w:rPr>
        <w:t>6.09</w:t>
      </w:r>
      <w:r>
        <w:rPr>
          <w:rFonts w:ascii="Times New Roman" w:hAnsi="Times New Roman"/>
          <w:sz w:val="20"/>
        </w:rPr>
        <w:t xml:space="preserve">, with respect to any Indebtedness, Liens, Investments, liquidations, dissolutions, mergers, consolidations, Asset Sales or other dispositions, Dividends, affiliate transactions or Restricted Debt Payments in a currency other than Dollars, no Default or Event of Default shall be deemed to have occurred solely as a result of changes in rates of currency exchange occurring after the time Issuer or one of its Restricted Subsidiaries shall (or, solely in connection with a Limited Condition Acquisition, shall enter into a contractual obligation to) incur, enter into, make or acquire such Indebtedness, Liens, Investments, liquidations, dissolutions, mergers, consolidations, Asset Sales or other dispositions, Dividends, affiliate transactions or Restricted Debt Payments (so long as, at the time of incurring, entering into, making or acquiring (or, solely in connection with a Limited Condition Acquisition, at the time of entering into the contract to incur, enter into, make or acquire) such Indebtedness, Liens, Investments, liquidations, dissolutions, mergers, consolidations, Asset Sales or other dispositions, Dividends, affiliate transactions or Restricted Debt Payments, such transaction was permitted hereunder) and once incurred, entered into, made or acquired (or, solely in connection with a Limited Condition Acquisition, contractually obligated to be incurred, entered into, made or acquired), the amount of such Indebtedness, Liens, Investments, liquidations, dissolutions, mergers, consolidations, Asset Sales or other dispositions, Dividends, affiliate transactions or Restricted Debt Payments, shall be always deemed to be at the Dollar equivalent amount on such date, regardless of later changes in currency exchange rates. The Issuer shall determine in good faith the Dollar equivalent amount of such utilization or other measurement denominated in a currency other than Dollars.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Basket Amounts and Application of Multiple Relevant Provisions</w:t>
      </w:r>
      <w:r>
        <w:rPr>
          <w:rFonts w:ascii="Times New Roman" w:hAnsi="Times New Roman"/>
          <w:sz w:val="20"/>
        </w:rPr>
        <w:t xml:space="preserve">. Notwithstanding anything to the contrary, (a) unless specifically stated otherwise herein, any Dollar, number, percentage or other amount available under any carve-out, basket, exclusion or exception to any individual affirmative, negative or other covenant in this Indenture or the other Note Documents may be accumulated, added, combined, aggregated or used together by any Note Party and its Subsidiaries under such individual covenant without limitation, and (b) any action or event permitted by this Indenture or the other Note Documents need not be permitted solely by reference to one provision permitting such action or event but may be permitted in part by one such provision and in part by one or more other provisions of this Indenture and the other Note Documents. For purposes of determining compliance with </w:t>
      </w:r>
      <w:r>
        <w:rPr>
          <w:rFonts w:ascii="Times New Roman" w:hAnsi="Times New Roman"/>
          <w:sz w:val="20"/>
          <w:u w:val="single"/>
        </w:rPr>
        <w:t>Article VI</w:t>
      </w:r>
      <w:r>
        <w:rPr>
          <w:rFonts w:ascii="Times New Roman" w:hAnsi="Times New Roman"/>
          <w:sz w:val="20"/>
        </w:rPr>
        <w:t xml:space="preserve">, in the event that any Lien, Investment, liquidation, dissolution, merger, consolidation, Indebtedness (whether at the time of incurrence or upon application of all or a portion of the proceeds thereof), disposition, Dividend, Affiliate transaction, contractual requirement or prepayment of Indebtedness meets the criteria of one, or more than one, of the “baskets” or categories of transactions then permitted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clause or subsection of the applicable covenant under </w:t>
      </w:r>
      <w:r>
        <w:rPr>
          <w:rFonts w:ascii="Times New Roman" w:hAnsi="Times New Roman"/>
          <w:sz w:val="20"/>
          <w:u w:val="single"/>
        </w:rPr>
        <w:t>Article VI</w:t>
      </w:r>
      <w:r>
        <w:rPr>
          <w:rFonts w:ascii="Times New Roman" w:hAnsi="Times New Roman"/>
          <w:sz w:val="20"/>
        </w:rPr>
        <w:t xml:space="preserve">, such transaction (or any portion thereof) at any time shall be permitted under one or more of such “baskets” or categories at the time of such transaction or any later time from time to time, in each case, as determined by the Issuer in its sole discretion at such time and thereafter may be reclassified or divided among such baskets or categories (as if incurred at such later time) by the Issuer in any manner not expressly prohibited by this Indenture; </w:t>
      </w:r>
      <w:r>
        <w:rPr>
          <w:rFonts w:ascii="Times New Roman" w:hAnsi="Times New Roman"/>
          <w:i/>
          <w:sz w:val="20"/>
        </w:rPr>
        <w:t>provided</w:t>
      </w:r>
      <w:r>
        <w:rPr>
          <w:rFonts w:ascii="Times New Roman" w:hAnsi="Times New Roman"/>
          <w:sz w:val="20"/>
        </w:rPr>
        <w:t xml:space="preserve">, that, all Indebtedness outstanding under the Note Documents on the Closing Date will be deemed to be incurred only in reliance on </w:t>
      </w:r>
      <w:r>
        <w:rPr>
          <w:rFonts w:ascii="Times New Roman" w:hAnsi="Times New Roman"/>
          <w:sz w:val="20"/>
          <w:u w:val="single"/>
        </w:rPr>
        <w:t>Section 6.01(a)</w:t>
      </w:r>
      <w:r>
        <w:rPr>
          <w:rFonts w:ascii="Times New Roman" w:hAnsi="Times New Roman"/>
          <w:sz w:val="20"/>
        </w:rPr>
        <w:t xml:space="preserve"> and any ABL Obligations outstanding on the Closing Date will be deemed to be incurred only in reliance on </w:t>
      </w:r>
      <w:r>
        <w:rPr>
          <w:rFonts w:ascii="Times New Roman" w:hAnsi="Times New Roman"/>
          <w:sz w:val="20"/>
          <w:u w:val="single"/>
        </w:rPr>
        <w:t>Section 6.01(c)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Acts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and the Guarantors. Proof of execution of any such instrument or of a writing appointing any such agent, or the holding by any Person of a Note, shall be sufficient for any purpose of this Indenture and (subject to </w:t>
      </w:r>
      <w:r>
        <w:rPr>
          <w:rFonts w:ascii="Times New Roman" w:hAnsi="Times New Roman"/>
          <w:sz w:val="20"/>
          <w:u w:val="single"/>
        </w:rPr>
        <w:t>Section 9.01</w:t>
      </w:r>
      <w:r>
        <w:rPr>
          <w:rFonts w:ascii="Times New Roman" w:hAnsi="Times New Roman"/>
          <w:sz w:val="20"/>
        </w:rPr>
        <w:t xml:space="preserve">) conclusive in favor of the Trustee, the Collateral Agent, the Issuer and the Guarantors, if made in the manner provided in this </w:t>
      </w:r>
      <w:r>
        <w:rPr>
          <w:rFonts w:ascii="Times New Roman" w:hAnsi="Times New Roman"/>
          <w:sz w:val="20"/>
          <w:u w:val="single"/>
        </w:rPr>
        <w:t>Section 1.12.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(i) by the affidavit of a witness of such execution or by the certificate of any notary public or other officer authorized by law to take acknowledgments of deeds, certifying that the individual signing such instrument or writing acknowledged to him the execution thereof or (ii) in any other manner deemed reasonably sufficient by the Trustee. Where such execution is by a signer acting in a capacity other than such signer’s individual capacity, such certificate or affidavit shall also constitute proof of such signer’s authority. The fact and date of the execution of any such instrument or writing, or the authority of the Person executing the same, may also be proved in any other manner that the Trustee deems sufficient. </w:t>
      </w:r>
    </w:p>
    <w:p>
      <w:pPr>
        <w:pStyle w:val="TextBody"/>
        <w:bidi w:val="0"/>
        <w:spacing w:before="240" w:after="0"/>
        <w:jc w:val="left"/>
        <w:rPr>
          <w:rFonts w:ascii="Times New Roman" w:hAnsi="Times New Roman"/>
          <w:sz w:val="20"/>
        </w:rPr>
      </w:pPr>
      <w:r>
        <w:rPr>
          <w:rFonts w:ascii="Times New Roman" w:hAnsi="Times New Roman"/>
          <w:sz w:val="20"/>
        </w:rPr>
        <w:t xml:space="preserve">(c) The ownership of Notes shall be proved by the Note Register. </w:t>
      </w:r>
    </w:p>
    <w:p>
      <w:pPr>
        <w:pStyle w:val="TextBody"/>
        <w:bidi w:val="0"/>
        <w:spacing w:before="240" w:after="0"/>
        <w:jc w:val="left"/>
        <w:rPr>
          <w:rFonts w:ascii="Times New Roman" w:hAnsi="Times New Roman"/>
          <w:sz w:val="20"/>
        </w:rPr>
      </w:pPr>
      <w:r>
        <w:rPr>
          <w:rFonts w:ascii="Times New Roman" w:hAnsi="Times New Roman"/>
          <w:sz w:val="20"/>
        </w:rPr>
        <w:t xml:space="preserve">(d) 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the Collateral Agent, the Issuer or the Guarantors in reliance thereon, whether or not notation of such action is made upon such Note. </w:t>
      </w:r>
    </w:p>
    <w:p>
      <w:pPr>
        <w:pStyle w:val="TextBody"/>
        <w:bidi w:val="0"/>
        <w:spacing w:before="240" w:after="0"/>
        <w:jc w:val="left"/>
        <w:rPr>
          <w:rFonts w:ascii="Times New Roman" w:hAnsi="Times New Roman"/>
          <w:sz w:val="20"/>
        </w:rPr>
      </w:pPr>
      <w:r>
        <w:rPr>
          <w:rFonts w:ascii="Times New Roman" w:hAnsi="Times New Roman"/>
          <w:sz w:val="20"/>
        </w:rPr>
        <w:t xml:space="preserve">(e) If the Issuer shall solicit from the Holders any request, demand, authorization, direction, notice, consent, waiver or other act, the Issuer may, at its option, by or pursuant to a board resolution of the Issuer’s Board of Directors, fix in advance a record date for the determination of Holders entitled to give such request, demand, authorization, direction, notice, consent, waiver or other act, but the Issuer shall have no obligation to do so. Any such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the record date specified in or pursuant to such board resolution, which shall be a date not more than 30 days prior to the first solicitation of Holders generally in connection therewith and no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Times New Roman" w:hAnsi="Times New Roman"/>
          <w:i/>
          <w:sz w:val="20"/>
        </w:rPr>
        <w:t xml:space="preserve">provided </w:t>
      </w:r>
      <w:r>
        <w:rPr>
          <w:rFonts w:ascii="Times New Roman" w:hAnsi="Times New Roman"/>
          <w:sz w:val="20"/>
        </w:rPr>
        <w:t xml:space="preserve">that no request, demand, authorization, direction, notice, consent, waiver or other act by the Holders on such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 </w:t>
      </w:r>
    </w:p>
    <w:p>
      <w:pPr>
        <w:pStyle w:val="TextBody"/>
        <w:bidi w:val="0"/>
        <w:spacing w:before="240" w:after="0"/>
        <w:jc w:val="left"/>
        <w:rPr>
          <w:rFonts w:ascii="Times New Roman" w:hAnsi="Times New Roman"/>
          <w:sz w:val="20"/>
        </w:rPr>
      </w:pPr>
      <w:r>
        <w:rPr>
          <w:rFonts w:ascii="Times New Roman" w:hAnsi="Times New Roman"/>
          <w:sz w:val="20"/>
        </w:rPr>
        <w:t xml:space="preserve">(g) 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 </w:t>
      </w:r>
    </w:p>
    <w:p>
      <w:pPr>
        <w:pStyle w:val="TextBody"/>
        <w:bidi w:val="0"/>
        <w:spacing w:before="240" w:after="0"/>
        <w:jc w:val="left"/>
        <w:rPr>
          <w:rFonts w:ascii="Times New Roman" w:hAnsi="Times New Roman"/>
          <w:sz w:val="20"/>
        </w:rPr>
      </w:pPr>
      <w:r>
        <w:rPr>
          <w:rFonts w:ascii="Times New Roman" w:hAnsi="Times New Roman"/>
          <w:sz w:val="20"/>
        </w:rPr>
        <w:t xml:space="preserve">(h) With respect to any Global Note, the Issuer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Times New Roman" w:hAnsi="Times New Roman"/>
          <w:i/>
          <w:sz w:val="20"/>
        </w:rPr>
        <w:t xml:space="preserve">provided </w:t>
      </w:r>
      <w:r>
        <w:rPr>
          <w:rFonts w:ascii="Times New Roman" w:hAnsi="Times New Roman"/>
          <w:sz w:val="20"/>
        </w:rPr>
        <w:t xml:space="preserve">that if such a record date is fixed, only the beneficial owners of interests in such Global Note on such record date or their duly appointed proxy or proxies shall be entitled to make, give or take such request, demand, authorization, direction, notice, consent, waiver or other action, whether or not such beneficial owners remain beneficial owners of interests in such Global Note after such record date. No such request, demand, authorization, direction, notice, consent, waiver or other action shall be effective hereunder unless made, given or taken on or prior to the expiration date, if any, designated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else in this Indenture to the contrary, with respect to any Global Note held through the Depositary (or a nominee thereof), each Person holding a beneficial interest in such Global Note may be considered to be a noteholder of its portion of the notes for purposes of providing any consent or direction requested by the Trustee hereunder or providing any other consent or direction contemplated hereby (for example, such Person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to any waiver or amendment directly without requiring the participation of the applicable clearing system or its nominee and may attend and vote at meetings of noteholders); it being understood that the Trustee must have received from (or on behalf of) such Person evidence satisfactory to the Trustee (in its sole discretion) that such Person holds the beneficial interests in such Global Note that it purports to hold, and such evidence of ownership may include a securities position or participant list or other information obtained from the applicable clearing system. The Trustee shall have no liability for acting in good faith on any such consent, waiver, direction, instruction or other vote from any such Person or for the sufficiency of the evidence deemed satisfactory to the Trustee. Each beneficial owner of an interest in a Global Note, by its acceptance of such interest, agrees to be bound by the provisions of this </w:t>
      </w:r>
      <w:r>
        <w:rPr>
          <w:rFonts w:ascii="Times New Roman" w:hAnsi="Times New Roman"/>
          <w:sz w:val="20"/>
          <w:u w:val="single"/>
        </w:rPr>
        <w:t>Section 1.12(i)</w:t>
      </w:r>
      <w:r>
        <w:rPr>
          <w:rFonts w:ascii="Times New Roman" w:hAnsi="Times New Roman"/>
          <w:sz w:val="20"/>
        </w:rPr>
        <w:t xml:space="preserve"> and waives any claim arising from actions taken by the Trustee in reliance on this </w:t>
      </w:r>
      <w:r>
        <w:rPr>
          <w:rFonts w:ascii="Times New Roman" w:hAnsi="Times New Roman"/>
          <w:sz w:val="20"/>
          <w:u w:val="single"/>
        </w:rPr>
        <w:t>Section 1.12(i)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Currency Translation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determining compliance as of any date after the Closing Date with </w:t>
      </w:r>
      <w:r>
        <w:rPr>
          <w:rFonts w:ascii="Times New Roman" w:hAnsi="Times New Roman"/>
          <w:sz w:val="20"/>
          <w:u w:val="single"/>
        </w:rPr>
        <w:t>Section 5.10</w:t>
      </w:r>
      <w:r>
        <w:rPr>
          <w:rFonts w:ascii="Times New Roman" w:hAnsi="Times New Roman"/>
          <w:sz w:val="20"/>
        </w:rPr>
        <w:t xml:space="preserve">, </w:t>
      </w:r>
      <w:r>
        <w:rPr>
          <w:rFonts w:ascii="Times New Roman" w:hAnsi="Times New Roman"/>
          <w:sz w:val="20"/>
          <w:u w:val="single"/>
        </w:rPr>
        <w:t>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w:t>
      </w:r>
      <w:r>
        <w:rPr>
          <w:rFonts w:ascii="Times New Roman" w:hAnsi="Times New Roman"/>
          <w:sz w:val="20"/>
          <w:u w:val="single"/>
        </w:rPr>
        <w:t>6.04</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w:t>
      </w:r>
      <w:r>
        <w:rPr>
          <w:rFonts w:ascii="Times New Roman" w:hAnsi="Times New Roman"/>
          <w:sz w:val="20"/>
          <w:u w:val="single"/>
        </w:rPr>
        <w:t>6.06</w:t>
      </w:r>
      <w:r>
        <w:rPr>
          <w:rFonts w:ascii="Times New Roman" w:hAnsi="Times New Roman"/>
          <w:sz w:val="20"/>
        </w:rPr>
        <w:t xml:space="preserve">, </w:t>
      </w:r>
      <w:r>
        <w:rPr>
          <w:rFonts w:ascii="Times New Roman" w:hAnsi="Times New Roman"/>
          <w:sz w:val="20"/>
          <w:u w:val="single"/>
        </w:rPr>
        <w:t>6.07</w:t>
      </w:r>
      <w:r>
        <w:rPr>
          <w:rFonts w:ascii="Times New Roman" w:hAnsi="Times New Roman"/>
          <w:sz w:val="20"/>
        </w:rPr>
        <w:t xml:space="preserve">, </w:t>
      </w:r>
      <w:r>
        <w:rPr>
          <w:rFonts w:ascii="Times New Roman" w:hAnsi="Times New Roman"/>
          <w:sz w:val="20"/>
          <w:u w:val="single"/>
        </w:rPr>
        <w:t>6.08</w:t>
      </w:r>
      <w:r>
        <w:rPr>
          <w:rFonts w:ascii="Times New Roman" w:hAnsi="Times New Roman"/>
          <w:sz w:val="20"/>
        </w:rPr>
        <w:t xml:space="preserve"> or </w:t>
      </w:r>
      <w:r>
        <w:rPr>
          <w:rFonts w:ascii="Times New Roman" w:hAnsi="Times New Roman"/>
          <w:sz w:val="20"/>
          <w:u w:val="single"/>
        </w:rPr>
        <w:t>6.09</w:t>
      </w:r>
      <w:r>
        <w:rPr>
          <w:rFonts w:ascii="Times New Roman" w:hAnsi="Times New Roman"/>
          <w:sz w:val="20"/>
        </w:rPr>
        <w:t xml:space="preserve">, or, or for any other specified purpose hereunder, amounts incurred (or first committed, in the case of revolving credit debt), distributed, paid, invested or outstanding in currencies other than Dollars shall be translated into Dollars at the exchange rates in effect on such date, as such exchange rates shall be determined in good faith by the Issuer by reference to customary indices.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determining compliance with </w:t>
      </w:r>
      <w:r>
        <w:rPr>
          <w:rFonts w:ascii="Times New Roman" w:hAnsi="Times New Roman"/>
          <w:sz w:val="20"/>
          <w:u w:val="single"/>
        </w:rPr>
        <w:t>Section 5.03(a)</w:t>
      </w:r>
      <w:r>
        <w:rPr>
          <w:rFonts w:ascii="Times New Roman" w:hAnsi="Times New Roman"/>
          <w:sz w:val="20"/>
        </w:rPr>
        <w:t xml:space="preserve"> and </w:t>
      </w:r>
      <w:r>
        <w:rPr>
          <w:rFonts w:ascii="Times New Roman" w:hAnsi="Times New Roman"/>
          <w:sz w:val="20"/>
          <w:u w:val="single"/>
        </w:rPr>
        <w:t>5.03(b)</w:t>
      </w:r>
      <w:r>
        <w:rPr>
          <w:rFonts w:ascii="Times New Roman" w:hAnsi="Times New Roman"/>
          <w:sz w:val="20"/>
        </w:rPr>
        <w:t xml:space="preserve">, if Indebtedness is incurred or a Lien is granted to extend, replace, refund, refinance, renew or defease other Indebtedness (secured or otherwise)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 amount of such refinancing Indebtedness does not exceed the principal amount of such Indebtedness being extended, replaced, refunded, refinanced, renewed or defeased, </w:t>
      </w:r>
      <w:r>
        <w:rPr>
          <w:rFonts w:ascii="Times New Roman" w:hAnsi="Times New Roman"/>
          <w:i/>
          <w:sz w:val="20"/>
        </w:rPr>
        <w:t>plus</w:t>
      </w:r>
      <w:r>
        <w:rPr>
          <w:rFonts w:ascii="Times New Roman" w:hAnsi="Times New Roman"/>
          <w:sz w:val="20"/>
        </w:rPr>
        <w:t xml:space="preserve"> the amount of any premium paid, and fees and expenses incurred, in connection with such extension, replacement, refunding, refinancing, renewal or defeasance (including any fees and original issue discount incurred in respect of such resulting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compliance with the Total Net Leverage Ratio on any date of determination, amounts denominated in a currency other than Dollars will be translated into Dollars (i) with respect to income statement items, at the currency exchange rates used in calculating Consolidated Net Income in the latest financial statements delivered pursuant to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(or, if such financial statements have not yet been delivered, pursuant to the Initial Financial Statements) and (ii) with respect to balance sheet items, at the currency exchange rates used in calculating balance sheet items in the latest financial statements delivered pursuant to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(or, if such financial statements have not yet been delivered, pursuant to the Initial Financial Statements) and will, in the case of Indebtedness, reflect the currency translation effects, determined in accordance with GAAP, of Hedging Agreements permitted hereunder for currency exchange risks with respect to the applicable currency in effect on the date of determination of the Dollar equivalent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Disclaimer and Exculpation With Respect to SOFR and any Benchmark Rate</w:t>
      </w:r>
      <w:r>
        <w:rPr>
          <w:rFonts w:ascii="Times New Roman" w:hAnsi="Times New Roman"/>
          <w:sz w:val="20"/>
        </w:rPr>
        <w:t xml:space="preserve">. None of the Trustee, the Paying Agent or the Calculation Agent warrant or accept responsibility for, and none of the Trustee, Paying Agent or Calculation Agent shall have any liability or obligation with respect to (a) monitoring, determining or verifying the unavailability, the cessation, the continuation of, administration of, submission of, calculation of (other than as set forth in Section 2.12, with respect to the Calculation Agent) or any other matter related to Alternate Base Rate, the Term SOFR Reference Rate, Term SOFR, SOFR, any other Benchmark, or any component definition thereof or rates referred to in the definition thereof, or any alternative, comparable, replacement or successor rate thereto, including whether the composition or characteristics of any such alternative, comparable, replacement or successor rate will be similar to, or produce the same value or economic equivalence of, or have the same volume or liquidity as, Alternate Base Rate, the Term SOFR Reference Rate, Term SOFR, SOFR, or any other Benchmark prior to its discontinuance or unavailability, or to determine whether or when there has occurred, or to give notice to any other transaction party of the occurrence of any Benchmark Transition Event or Benchmark Replacement Date or any successor replacement index, (b) to select, determine or designate any Benchmark Replacement, or other successor or replacement benchmark index, or determine whether any conditions to the designation of such a rate have been satisfied or, (c) to select, determine or designate any Benchmark Replacement Adjustment, or other modifier to any replacement or successor index, or (d) the effect, implementation or composition of any Conforming Changes made to this Indenture or any other Note Document with respect to the implementation or replacement of any of the aforementioned benchmark rates. </w:t>
      </w:r>
    </w:p>
    <w:p>
      <w:pPr>
        <w:pStyle w:val="TextBody"/>
        <w:bidi w:val="0"/>
        <w:spacing w:before="240" w:after="0"/>
        <w:jc w:val="left"/>
        <w:rPr>
          <w:rFonts w:ascii="Times New Roman" w:hAnsi="Times New Roman"/>
          <w:sz w:val="20"/>
        </w:rPr>
      </w:pPr>
      <w:r>
        <w:rPr>
          <w:rFonts w:ascii="Times New Roman" w:hAnsi="Times New Roman"/>
          <w:sz w:val="20"/>
        </w:rPr>
        <w:t xml:space="preserve">The Trustee and its affiliates or other related entities may engage in transactions that affect the calculation of Alternate Base Rate, the Term SOFR Reference Rate, Term SOFR, any alternative, successor or replacement rate thereto, or any relevant adjustments thereto, in each case, in a manner adverse to the Issuer, the Holders or any other party to any Note Document.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Paying Agent, nor Calculation Agent shall be liable for any inability, failure or delay on its part to perform any of its duties set forth in this Indenture or other Transaction Document as a result of the unavailability of Alternate Base Rate, the Term SOFR Reference Rate, Term SOFR, SOFR (or other applicable Benchmark) and absence of a designated replacement Benchmark, including as a result of any inability, delay, error or inaccuracy on the part of any other transaction party, in providing any direction, instruction, notice or information required or contemplated by the terms of this Indenture or other Transaction Document and reasonably required for the performance of such duties. The Calculation Agent shall, in respect of any Interest Payment Determination Date or any other day on which an interest rate is determined, have no liability for the application of the Benchmark as determined on the previous day such interest rate was determined or any preceding U.S. Government Securities Business Day if so required hereunder. If the Calculation Agent at any time or times determines in its reasonable judgment that guidance is needed to perform its duties, or if it is required to decide between alternative courses of action, the Calculation Agent may (but is not obligated to) reasonably request guidance in the form of written instructions (or, in its sole discretion, oral instruction followed by written confirmation) from the Issuer or its designee, including without limitation in respect of facilitating or specifying administrative procedures with respect to the calculation of any Benchmark, on which the Calculation Agent shall be entitled to rely without liability. The Calculation Agent shall be entitled to refrain from action pending receipt of such instruction.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 and Dating,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hereto acknowledge and agree that, prior to the effectiveness of this Indenture, the Prior Notes were issued and authenticated under the Prior Notes Indenture in an aggregate principal amount equal to $[__]. Upon the effectiveness of this Indenture on the Restatement Effective Date, (i) the Prior Notes shall be treated as Notes issued under this Indenture and shall constitute a single class together with any PIK Notes and any Additional Notes for all purposes under this Indenture, including waivers, amendments, redemptions and offers to purchase, (ii) all references in this Indenture to the “Initial Notes” shall be deemed to include the Initial Notes issued under the Prior Notes Indenture, (iii) unless otherwise specified, all references in this Indenture to “PIK Notes” shall be deemed to include PIK Notes issued under the Prior Notes Indenture, and (iv) such treatment shall not constitute a novation or satisfaction of the Obligations under the Prior Notes Indenture. </w:t>
      </w:r>
    </w:p>
    <w:p>
      <w:pPr>
        <w:pStyle w:val="TextBody"/>
        <w:bidi w:val="0"/>
        <w:spacing w:before="240" w:after="0"/>
        <w:jc w:val="left"/>
        <w:rPr>
          <w:rFonts w:ascii="Times New Roman" w:hAnsi="Times New Roman"/>
          <w:sz w:val="20"/>
        </w:rPr>
      </w:pPr>
      <w:r>
        <w:rPr>
          <w:rFonts w:ascii="Times New Roman" w:hAnsi="Times New Roman"/>
          <w:sz w:val="20"/>
        </w:rPr>
        <w:t xml:space="preserve">(b) Provisions relating to the Initial Notes (including the Initial Notes issued under the Prior Notes Indenture), PIK Notes (including PIK Notes issued under the Prior Notes Indenture), Additional Notes and any other Notes issued under this Indenture are set forth in Appendix A, which is hereby incorporated in and expressly made a part of this Indenture (with such appropriate insertions, omissions, substitutions and other variations as are required or permitted by this Indenture). The Notes and the Trustee’s certificate of authentication shall each be substantially in the form of </w:t>
      </w:r>
      <w:r>
        <w:rPr>
          <w:rFonts w:ascii="Times New Roman" w:hAnsi="Times New Roman"/>
          <w:sz w:val="20"/>
          <w:u w:val="single"/>
        </w:rPr>
        <w:t xml:space="preserve">Exhibit A </w:t>
      </w:r>
      <w:r>
        <w:rPr>
          <w:rFonts w:ascii="Times New Roman" w:hAnsi="Times New Roman"/>
          <w:sz w:val="20"/>
        </w:rPr>
        <w:t>hereto (with such appropriate insertions, omissions, substitutions and other variations as are required or permitted by this Indenture), which is hereby incorporated in and expressly made a part of this Indenture. The Notes may have notations, legends or endorsements required by law, rules or agreements with national securities exchanges to which the Issuer or any Guarantor is subject, if any, or usage (</w:t>
      </w:r>
      <w:r>
        <w:rPr>
          <w:rFonts w:ascii="Times New Roman" w:hAnsi="Times New Roman"/>
          <w:i/>
          <w:sz w:val="20"/>
        </w:rPr>
        <w:t xml:space="preserve">provided </w:t>
      </w:r>
      <w:r>
        <w:rPr>
          <w:rFonts w:ascii="Times New Roman" w:hAnsi="Times New Roman"/>
          <w:sz w:val="20"/>
        </w:rPr>
        <w:t xml:space="preserve">that any such notation, legend or endorsement is in a form acceptable to the Issuer). Each Note shall be dated the date of its authentication. The Notes shall be issued only in fully registered form without coupons and only in minimum denominations of $1.00 and integral multiples of $1.00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(c) The aggregate principal amount of Notes that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(d) 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(e) The Notes shall be subject to repurchase by the Issuer pursuant to a Net Cash Proceeds Offer as provided in </w:t>
      </w:r>
      <w:r>
        <w:rPr>
          <w:rFonts w:ascii="Times New Roman" w:hAnsi="Times New Roman"/>
          <w:sz w:val="20"/>
          <w:u w:val="single"/>
        </w:rPr>
        <w:t>Section 3.08</w:t>
      </w:r>
      <w:r>
        <w:rPr>
          <w:rFonts w:ascii="Times New Roman" w:hAnsi="Times New Roman"/>
          <w:sz w:val="20"/>
        </w:rPr>
        <w:t xml:space="preserve"> or a Change of Control Offer as provided in </w:t>
      </w:r>
      <w:r>
        <w:rPr>
          <w:rFonts w:ascii="Times New Roman" w:hAnsi="Times New Roman"/>
          <w:sz w:val="20"/>
          <w:u w:val="single"/>
        </w:rPr>
        <w:t>Section 3.09</w:t>
      </w:r>
      <w:r>
        <w:rPr>
          <w:rFonts w:ascii="Times New Roman" w:hAnsi="Times New Roman"/>
          <w:sz w:val="20"/>
        </w:rPr>
        <w:t xml:space="preserve">, and otherwise as not prohibited by this Indenture. The Notes shall not be redeemable, other than as provided in </w:t>
      </w:r>
      <w:r>
        <w:rPr>
          <w:rFonts w:ascii="Times New Roman" w:hAnsi="Times New Roman"/>
          <w:sz w:val="20"/>
          <w:u w:val="single"/>
        </w:rPr>
        <w:t>Article 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 unlimited aggregate principal amount of Additional Notes ranking pari passu with the Initial Notes and the PIK Notes may be created and issued from time to time by the Issuer without notice to or consent of the Holders and shall be consolidated with and form a single class with the Initial Notes and the PIK Notes and shall have the same terms as to status, redemption or otherwise (other than Closing Date, issue price and, if applicable, the first interest payment date and the first date from which interest will accrue) as the Initial Notes and the PIK Notes; </w:t>
      </w:r>
      <w:r>
        <w:rPr>
          <w:rFonts w:ascii="Times New Roman" w:hAnsi="Times New Roman"/>
          <w:i/>
          <w:sz w:val="20"/>
        </w:rPr>
        <w:t xml:space="preserve">provided </w:t>
      </w:r>
      <w:r>
        <w:rPr>
          <w:rFonts w:ascii="Times New Roman" w:hAnsi="Times New Roman"/>
          <w:sz w:val="20"/>
        </w:rPr>
        <w:t xml:space="preserve">that the Issuer’s ability to issue Additional Notes shall be subject to the Issuer’s compliance with </w:t>
      </w:r>
      <w:r>
        <w:rPr>
          <w:rFonts w:ascii="Times New Roman" w:hAnsi="Times New Roman"/>
          <w:sz w:val="20"/>
          <w:u w:val="single"/>
        </w:rPr>
        <w:t>Section 6.01</w:t>
      </w:r>
      <w:r>
        <w:rPr>
          <w:rFonts w:ascii="Times New Roman" w:hAnsi="Times New Roman"/>
          <w:sz w:val="20"/>
        </w:rPr>
        <w:t xml:space="preserve"> and </w:t>
      </w:r>
      <w:r>
        <w:rPr>
          <w:rFonts w:ascii="Times New Roman" w:hAnsi="Times New Roman"/>
          <w:sz w:val="20"/>
          <w:u w:val="single"/>
        </w:rPr>
        <w:t>Section 6.02</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if any Additional Notes are not fungible with the Initial Notes for U.S. federal income tax purposes, such Additional Notes shall have separate CUSIP and ISIN numbers from the Initial Notes. The Initial Notes, any PIK Notes and any Additional Notes shall be treated as a single class for all purposes under this Indenture, including waivers, amendments, redemptions and offers to purchase. Any Additional Notes shall be issued either pursuant to an Officer’s Certificate of the Issuer, pursuant to a resolution by the Board of Directors of the Issuer or pursuant to an indenture supplemental to this Indenture. </w:t>
      </w:r>
    </w:p>
    <w:p>
      <w:pPr>
        <w:pStyle w:val="TextBody"/>
        <w:bidi w:val="0"/>
        <w:spacing w:before="240" w:after="0"/>
        <w:jc w:val="left"/>
        <w:rPr>
          <w:rFonts w:ascii="Times New Roman" w:hAnsi="Times New Roman"/>
          <w:sz w:val="20"/>
        </w:rPr>
      </w:pPr>
      <w:r>
        <w:rPr>
          <w:rFonts w:ascii="Times New Roman" w:hAnsi="Times New Roman"/>
          <w:sz w:val="20"/>
        </w:rPr>
        <w:t>(g) In connection with the payment of PIK Interest in respect of the Notes from and after the Restatement Effective Date, the Issuer is entitled to, without the consent of the Holders, issue additional Notes (the “</w:t>
      </w:r>
      <w:r>
        <w:rPr>
          <w:rFonts w:ascii="Times New Roman" w:hAnsi="Times New Roman"/>
          <w:b/>
          <w:sz w:val="20"/>
        </w:rPr>
        <w:t>PIK Notes</w:t>
      </w:r>
      <w:r>
        <w:rPr>
          <w:rFonts w:ascii="Times New Roman" w:hAnsi="Times New Roman"/>
          <w:sz w:val="20"/>
        </w:rPr>
        <w:t xml:space="preserve">”) under this Indenture having the same terms and conditions as the applicable outstanding Notes or increase the outstanding principal amount of the Notes in the amount of such PIK Interest. For the avoidance of doubt, references in this Indenture to the principal amount of Notes shall include any PIK Notes, as applicable and any PIK Interest which has been added to the principal of a Global Note. </w:t>
      </w:r>
    </w:p>
    <w:p>
      <w:pPr>
        <w:pStyle w:val="TextBody"/>
        <w:bidi w:val="0"/>
        <w:spacing w:before="240" w:after="0"/>
        <w:jc w:val="left"/>
        <w:rPr>
          <w:rFonts w:ascii="Times New Roman" w:hAnsi="Times New Roman"/>
          <w:sz w:val="20"/>
        </w:rPr>
      </w:pPr>
      <w:r>
        <w:rPr>
          <w:rFonts w:ascii="Times New Roman" w:hAnsi="Times New Roman"/>
          <w:sz w:val="20"/>
        </w:rPr>
        <w:t>(h) The Initial Notes, the Additional Notes and any PIK Notes issued as a result of a PIK Election, to the maximum extent possible, shall be considered collectively as a single class for all purposes of this Indenture, including waivers, amendments, redemptions and offers to repurchase and Holders of Additional Notes and PIK Notes will share equally and ratably in the Collateral with other Holders; </w:t>
      </w:r>
      <w:r>
        <w:rPr>
          <w:rFonts w:ascii="Times New Roman" w:hAnsi="Times New Roman"/>
          <w:i/>
          <w:sz w:val="20"/>
        </w:rPr>
        <w:t>provided</w:t>
      </w:r>
      <w:r>
        <w:rPr>
          <w:rFonts w:ascii="Times New Roman" w:hAnsi="Times New Roman"/>
          <w:sz w:val="20"/>
        </w:rPr>
        <w:t xml:space="preserve"> that any Additional Notes will not be issued with the same CUSIP number, ISIN or other identifying number as the Initial Notes unless such Additional Notes are fungible with the Initial Notes for U.S. federal income tax and securities law purposes. Holders of the Initial Notes, the Additional Notes and the PIK Notes will vote and consent together on all matters to which such Holders are entitled to vote or consent as one class, and none of the Holders of the Initial Notes, the Additional Notes or the PIK Notes shall have the right to vote or consent as a separate class on any matter to which such Holders are entitled to vote or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least one Officer of the Issuer shall execute the Notes on behalf of the Issuer by manual, electronic or facsimile signature. If an Officer whose signature is on a Note no longer holds that or any office at the time a Note is authenticated, the Note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(b) A Note shall not be entitled to any benefit under this Indenture or be valid or obligatory for any purpose until authenticated substantially in the form of </w:t>
      </w:r>
      <w:r>
        <w:rPr>
          <w:rFonts w:ascii="Times New Roman" w:hAnsi="Times New Roman"/>
          <w:sz w:val="20"/>
          <w:u w:val="single"/>
        </w:rPr>
        <w:t>Exhibit A</w:t>
      </w:r>
      <w:r>
        <w:rPr>
          <w:rFonts w:ascii="Times New Roman" w:hAnsi="Times New Roman"/>
          <w:sz w:val="20"/>
        </w:rPr>
        <w:t xml:space="preserve"> attached hereto by the manual signature of an authorized signatory of the Trustee. The signature shall be conclusive evidence that the Note has been duly authenticated and delivered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On the Closing Date, the Trustee, upon receipt of a written request or order of the Issuer signed by an Officer of the Issuer (an “</w:t>
      </w:r>
      <w:r>
        <w:rPr>
          <w:rFonts w:ascii="Times New Roman" w:hAnsi="Times New Roman"/>
          <w:b/>
          <w:sz w:val="20"/>
        </w:rPr>
        <w:t>Authentication Order</w:t>
      </w:r>
      <w:r>
        <w:rPr>
          <w:rFonts w:ascii="Times New Roman" w:hAnsi="Times New Roman"/>
          <w:sz w:val="20"/>
        </w:rPr>
        <w:t xml:space="preserve">”), authenticated and delivered the Initial Notes. At any time and from time to time from and after the Restatement Effective Date, the Trustee shall, upon receipt of an Authentication Order, authenticate and deliver any Additional Notes in an aggregate principal amount specified in such Authentication Order for such Additional Notes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Trustee may appoint an Authenticating Agent acceptable to the Issuer to authenticate Notes in accordance </w:t>
      </w:r>
      <w:r>
        <w:rPr>
          <w:rFonts w:ascii="Times New Roman" w:hAnsi="Times New Roman"/>
          <w:sz w:val="20"/>
          <w:u w:val="single"/>
        </w:rPr>
        <w:t>with Section 9.10</w:t>
      </w:r>
      <w:r>
        <w:rPr>
          <w:rFonts w:ascii="Times New Roman" w:hAnsi="Times New Roman"/>
          <w:sz w:val="20"/>
        </w:rPr>
        <w:t xml:space="preserve"> hereof. Unless limited by the terms of such appointment, an Authenticating Agent may authenticate Notes whenever the Trustee may do so. Each reference in this Indenture to authentication by the Trustee includes authentication by such agent. An Authenticating Agent has the same rights as an Agent to deal with Holders, the Issuer or an Affiliate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authenticate and make available for delivery upon receipt of an Authentication Order from the Issuer (i) subject to the terms of this Indenture, Additional Notes, (ii) any PIK Notes issued in payment of PIK Interest and (iii) any Unrestricted Global Notes (as defined in </w:t>
      </w:r>
      <w:r>
        <w:rPr>
          <w:rFonts w:ascii="Times New Roman" w:hAnsi="Times New Roman"/>
          <w:sz w:val="20"/>
          <w:u w:val="single"/>
        </w:rPr>
        <w:t>Appendix A</w:t>
      </w:r>
      <w:r>
        <w:rPr>
          <w:rFonts w:ascii="Times New Roman" w:hAnsi="Times New Roman"/>
          <w:sz w:val="20"/>
        </w:rPr>
        <w:t xml:space="preserve">) issued in exchange for (x) the Initial Notes and (y) any of the foregoing in accordance with this Indenture. Such order shall specify the amount of the Notes to be authenticated, the date on which the Notes are to be authenticated and whether the Notes are to be Initial Notes, PIK Notes, Additional Notes or Unrestricted Global Notes. Upon receipt of a written order of the Issuer signed by one Officer of the Issuer, the Trustee shall authenticate Notes in substitution for Notes originally issued to reflect any name change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(f) On any Interest Payment Date on which the Issuer pays PIK Interest with respect to a Global Note, the Trustee shall increase the principal amount of such Global Note by an amount equal to the interest payable, rounded up to the nearest whole Dollar, for the relevant interest period on the principal amount of such Global Note as of the relevant record date for such Interest Payment Date, to the credit of the Holders on such record date, pro rata in accordance with their interests, and an adjustment shall be made on the books and records of the Trustee (if it is then the Custodian for such Global Note) with respect to such Global Note, by the Trustee or the Custodian, to reflect such increase. On any Interest Payment Date on which the Issuer pays PIK Interest by issuing definitive PIK Notes, the principal amount of any such PIK Notes issued to any Holder, for the relevant interest period as of the relevant record date for such Interest Payment Date, shall be rounded up to the nearest whole Dollar.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Registrar;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Issuer shall maintain an office or agency where Notes may be presented for registration of transfer or for exchange (“</w:t>
      </w:r>
      <w:r>
        <w:rPr>
          <w:rFonts w:ascii="Times New Roman" w:hAnsi="Times New Roman"/>
          <w:b/>
          <w:sz w:val="20"/>
        </w:rPr>
        <w:t>Registrar</w:t>
      </w:r>
      <w:r>
        <w:rPr>
          <w:rFonts w:ascii="Times New Roman" w:hAnsi="Times New Roman"/>
          <w:sz w:val="20"/>
        </w:rPr>
        <w:t>”) and at least one office or agency where Notes may be presented for payment (“</w:t>
      </w:r>
      <w:r>
        <w:rPr>
          <w:rFonts w:ascii="Times New Roman" w:hAnsi="Times New Roman"/>
          <w:b/>
          <w:sz w:val="20"/>
        </w:rPr>
        <w:t>Paying Agent</w:t>
      </w:r>
      <w:r>
        <w:rPr>
          <w:rFonts w:ascii="Times New Roman" w:hAnsi="Times New Roman"/>
          <w:sz w:val="20"/>
        </w:rPr>
        <w:t>”). The Registrar shall keep a register of the Notes (“</w:t>
      </w:r>
      <w:r>
        <w:rPr>
          <w:rFonts w:ascii="Times New Roman" w:hAnsi="Times New Roman"/>
          <w:b/>
          <w:sz w:val="20"/>
        </w:rPr>
        <w:t>Note Register</w:t>
      </w:r>
      <w:r>
        <w:rPr>
          <w:rFonts w:ascii="Times New Roman" w:hAnsi="Times New Roman"/>
          <w:sz w:val="20"/>
        </w:rPr>
        <w:t xml:space="preserve">”)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and/or any Restricted Subsidiary may act as Paying Agent or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Issuer initially appoints The Depository Trust Company to act as Depositary with respect to the Global Notes. The Issuer initially appoints U.S. Bank to act as Paying Agent and Registrar for the Notes and to act as Custodian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Paying Agent to Hold Money in Trust</w:t>
      </w:r>
      <w:r>
        <w:rPr>
          <w:rFonts w:ascii="Times New Roman" w:hAnsi="Times New Roman"/>
          <w:sz w:val="20"/>
        </w:rPr>
        <w:t xml:space="preserve">. Unless otherwise agreed with the Paying Agent, the Issuer shall, no later than 12:00 p.m. (New York City time) on each due date for the payment of principal, premium, if any, and interest on any of the Notes, deposit with a Paying Agent a sum sufficient to pay such amount, such sum to be held in trust for the Holders entitled to the same, and (unless such Paying Agent is the Trustee) the Issuer shall promptly notify the Trustee of its action or failure so to act. The Issuer shall require each Paying Agent other than the Trustee to agree in writing that such Paying Agent shall hold in trust for the benefit of Holders or the Trustee all money held by such Paying Agent for the payment of principal, premium, if any, and interest on the Notes, and shall notify the Trustee of any default by the Issuer in making any such payment. While any such default continues, the Trustee may require a Paying Agent to pay all money held by it in trust for the benefit of the Holders to the Trustee. The Issuer at any time may require a Paying Agent to pay all money held by it to the Trustee. Upon payment over to the Trustee, a Paying Agent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specified in </w:t>
      </w:r>
      <w:r>
        <w:rPr>
          <w:rFonts w:ascii="Times New Roman" w:hAnsi="Times New Roman"/>
          <w:sz w:val="20"/>
          <w:u w:val="single"/>
        </w:rPr>
        <w:t>Section 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the Trustee shall serve as Paying Agent for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Holder Lists</w:t>
      </w:r>
      <w:r>
        <w:rPr>
          <w:rFonts w:ascii="Times New Roman" w:hAnsi="Times New Roman"/>
          <w:sz w:val="20"/>
        </w:rPr>
        <w:t xml:space="preserve">. The Trustee, for so long as it is acting as Registrar, shall preserve in as current a form as is reasonably practicable the most recent list available to it of the names and addresses of all Holders. If the Trustee is not the Registrar, the Issuer shall furnish to the Trustee at least two Business Days before each interest payment date, and at such other times as the Trustee may request in writing, a list in such form and as of such date as the Trustee may reasonably require of the names and addresses of the Holders. Every Holder, by receiving and holding the same, agrees with the Issuer, the Guarantors, the Trustee and the Collateral Agent that none of the Issuer, the Guarantors, the Trustee or the Collateral Agent or any agent of any of them shall be held accountable by reason of the disclosure of any information as to the names and addresses of the Holders, regardless of the source from which such information was derived.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Transfers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Notes shall be issued in registered form and shall be transferable only upon the surrender of a Note for registration of transfer and in compliance with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To permit registrations of transfers and exchanges, the Issuer shall execute and the Trustee shall authenticate Global Notes and Definitive Notes upon receipt of an Authentication Order in accordance with </w:t>
      </w:r>
      <w:r>
        <w:rPr>
          <w:rFonts w:ascii="Times New Roman" w:hAnsi="Times New Roman"/>
          <w:sz w:val="20"/>
          <w:u w:val="single"/>
        </w:rPr>
        <w:t>Section 2.02</w:t>
      </w:r>
      <w:r>
        <w:rPr>
          <w:rFonts w:ascii="Times New Roman" w:hAnsi="Times New Roman"/>
          <w:sz w:val="20"/>
        </w:rPr>
        <w:t xml:space="preserve"> or at the Registrar’s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service charge shall be imposed in connection with any registration of transfer or exchange of the Notes (other than pursuant to </w:t>
      </w:r>
      <w:r>
        <w:rPr>
          <w:rFonts w:ascii="Times New Roman" w:hAnsi="Times New Roman"/>
          <w:sz w:val="20"/>
          <w:u w:val="single"/>
        </w:rPr>
        <w:t>Section 2.07</w:t>
      </w:r>
      <w:r>
        <w:rPr>
          <w:rFonts w:ascii="Times New Roman" w:hAnsi="Times New Roman"/>
          <w:sz w:val="20"/>
        </w:rPr>
        <w:t xml:space="preserve">), but the Holders shall be required to pay any documentary, stamp, similar issue or transfer tax or similar governmental charge payable in connection therewith (other than any such documentary, stamp, similar issue or transfer tax or similar governmental charge payable upon exchange or transfer pursuant to </w:t>
      </w:r>
      <w:r>
        <w:rPr>
          <w:rFonts w:ascii="Times New Roman" w:hAnsi="Times New Roman"/>
          <w:sz w:val="20"/>
          <w:u w:val="single"/>
        </w:rPr>
        <w:t>Sections 2.10</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3.08</w:t>
      </w:r>
      <w:r>
        <w:rPr>
          <w:rFonts w:ascii="Times New Roman" w:hAnsi="Times New Roman"/>
          <w:sz w:val="20"/>
        </w:rPr>
        <w:t xml:space="preserve">, </w:t>
      </w:r>
      <w:r>
        <w:rPr>
          <w:rFonts w:ascii="Times New Roman" w:hAnsi="Times New Roman"/>
          <w:sz w:val="20"/>
          <w:u w:val="single"/>
        </w:rPr>
        <w:t>3.09</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and </w:t>
      </w:r>
      <w:r>
        <w:rPr>
          <w:rFonts w:ascii="Times New Roman" w:hAnsi="Times New Roman"/>
          <w:sz w:val="20"/>
          <w:u w:val="single"/>
        </w:rPr>
        <w:t>12.04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(e) Neither the Issuer nor the Registrar shall be required (i) to issue, to register the transfer of or to exchange any Note during a period beginning at the opening of business 15 days before the day of any selection of Notes for redemption in accordance with </w:t>
      </w:r>
      <w:r>
        <w:rPr>
          <w:rFonts w:ascii="Times New Roman" w:hAnsi="Times New Roman"/>
          <w:sz w:val="20"/>
          <w:u w:val="single"/>
        </w:rPr>
        <w:t>Section 3.02</w:t>
      </w:r>
      <w:r>
        <w:rPr>
          <w:rFonts w:ascii="Times New Roman" w:hAnsi="Times New Roman"/>
          <w:sz w:val="20"/>
        </w:rPr>
        <w:t xml:space="preserve"> and ending at the close of business on the day of selection, (ii) to register the transfer of or to exchange any Note so selected for redemption (including in connection with a Change of Control Offer or a Net Cash Proceeds Offer), in whole or in part, except the unredeemed or unpurchased portion of any Note being redeemed or repurchased in part or (iii) to register the transfer of or to exchange any Note between a record date and the next succeeding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(f) Prior to due presentment for the registration of a transfer of any Note, the Trustee, any Agent and the Issuer may deem and treat the Person in whose name any Note is registered as the absolute owner of such Note for the purpose of receiving payment of principal, premium, if any, and (subject to the record date provisions of the Notes) interest on such Notes and, subject to </w:t>
      </w:r>
      <w:r>
        <w:rPr>
          <w:rFonts w:ascii="Times New Roman" w:hAnsi="Times New Roman"/>
          <w:sz w:val="20"/>
          <w:u w:val="single"/>
        </w:rPr>
        <w:t>Section 1.12(i</w:t>
      </w:r>
      <w:r>
        <w:rPr>
          <w:rFonts w:ascii="Times New Roman" w:hAnsi="Times New Roman"/>
          <w:sz w:val="20"/>
        </w:rPr>
        <w:t xml:space="preserve">) for any other purposes, and none of the Trustee, any Agent or the Issuer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(g) Upon surrender for registration of transfer of any Note at the office or agency of the Issuer designated pursuant to </w:t>
      </w:r>
      <w:r>
        <w:rPr>
          <w:rFonts w:ascii="Times New Roman" w:hAnsi="Times New Roman"/>
          <w:sz w:val="20"/>
          <w:u w:val="single"/>
        </w:rPr>
        <w:t>Section 5.02</w:t>
      </w:r>
      <w:r>
        <w:rPr>
          <w:rFonts w:ascii="Times New Roman" w:hAnsi="Times New Roman"/>
          <w:sz w:val="20"/>
        </w:rPr>
        <w:t xml:space="preserve">, the Issuer shall execute, and the Trustee shall authenticate and mail, in the name of the designated transferee or transferees, one or more replacement Notes of any authorized denomination or denominations of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(h) 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certifications, certificates and Opinions of Counsel required to be submitted to the Registrar pursuant to this </w:t>
      </w:r>
      <w:r>
        <w:rPr>
          <w:rFonts w:ascii="Times New Roman" w:hAnsi="Times New Roman"/>
          <w:sz w:val="20"/>
          <w:u w:val="single"/>
        </w:rPr>
        <w:t>Section 2.06</w:t>
      </w:r>
      <w:r>
        <w:rPr>
          <w:rFonts w:ascii="Times New Roman" w:hAnsi="Times New Roman"/>
          <w:sz w:val="20"/>
        </w:rPr>
        <w:t xml:space="preserve"> to effect a registration of transfer or exchange may be submitted by mail or by facsimile or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Every Note presented or surrendered for registration of transfer or for exchange shall (if so required by the Issuer or the Registrar) be duly endorsed, or be accompanied by a written instrument of transfer, in form satisfactory to the Issuer and the Registrar, duly executed by the Holder thereof or his or her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Replacement Notes</w:t>
      </w:r>
      <w:r>
        <w:rPr>
          <w:rFonts w:ascii="Times New Roman" w:hAnsi="Times New Roman"/>
          <w:sz w:val="20"/>
        </w:rPr>
        <w:t xml:space="preserve">. If a mutilated Note is surrendered to the Trustee or if a Holder claims that its Note has been lost, destroyed or wrongfully taken and the Trustee receives evidence to its satisfaction of the ownership and loss, destruction or theft of such Note, the Issuer shall issue and the Trustee, upon receipt of an Authentication Order, shall authenticate a replacement Note if the Trustee’s requirements are otherwise met. If required by the Trustee or the Issuer, an indemnity bond must be provided by the Holder that is sufficient in the judgment of the Trustee and the Issuer to protect the Issuer, the Trustee, any Agent and any authenticating agent from any loss that any of them may suffer if a Note is replaced. The Issuer may charge the Holder for the expenses of the Issuer and the Trustee in replacing a Note. Every replacement Note is a contractual obligation of the Issuer and shall be entitled to all of the benefits of this Indenture equally and proportionately with all other Notes duly issued hereunder. Notwithstanding the foregoing provisions of this </w:t>
      </w:r>
      <w:r>
        <w:rPr>
          <w:rFonts w:ascii="Times New Roman" w:hAnsi="Times New Roman"/>
          <w:sz w:val="20"/>
          <w:u w:val="single"/>
        </w:rPr>
        <w:t>Section 2.07</w:t>
      </w:r>
      <w:r>
        <w:rPr>
          <w:rFonts w:ascii="Times New Roman" w:hAnsi="Times New Roman"/>
          <w:sz w:val="20"/>
        </w:rPr>
        <w:t xml:space="preserve">, in case any mutilated, lost, destroyed or wrongfully taken Note has become or is about to become due and payable, the Issuer in its discretion may, instead of issuing a new Note, pay such Note.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Outstanding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w:t>
      </w:r>
      <w:r>
        <w:rPr>
          <w:rFonts w:ascii="Times New Roman" w:hAnsi="Times New Roman"/>
          <w:sz w:val="20"/>
          <w:u w:val="single"/>
        </w:rPr>
        <w:t>Section 2.08</w:t>
      </w:r>
      <w:r>
        <w:rPr>
          <w:rFonts w:ascii="Times New Roman" w:hAnsi="Times New Roman"/>
          <w:sz w:val="20"/>
        </w:rPr>
        <w:t xml:space="preserve"> as not outstanding. Except as set forth in </w:t>
      </w:r>
      <w:r>
        <w:rPr>
          <w:rFonts w:ascii="Times New Roman" w:hAnsi="Times New Roman"/>
          <w:sz w:val="20"/>
          <w:u w:val="single"/>
        </w:rPr>
        <w:t>Section 2.09</w:t>
      </w:r>
      <w:r>
        <w:rPr>
          <w:rFonts w:ascii="Times New Roman" w:hAnsi="Times New Roman"/>
          <w:sz w:val="20"/>
        </w:rPr>
        <w:t xml:space="preserve">, a Note does not cease to be outstanding because the Issuer or an Affiliate of the Issuer holds the Note. </w:t>
      </w:r>
    </w:p>
    <w:p>
      <w:pPr>
        <w:pStyle w:val="TextBody"/>
        <w:bidi w:val="0"/>
        <w:spacing w:before="240" w:after="0"/>
        <w:jc w:val="left"/>
        <w:rPr>
          <w:rFonts w:ascii="Times New Roman" w:hAnsi="Times New Roman"/>
          <w:sz w:val="20"/>
        </w:rPr>
      </w:pPr>
      <w:r>
        <w:rPr>
          <w:rFonts w:ascii="Times New Roman" w:hAnsi="Times New Roman"/>
          <w:sz w:val="20"/>
        </w:rPr>
        <w:t xml:space="preserve">(b) If a Note is replaced pursuant to </w:t>
      </w:r>
      <w:r>
        <w:rPr>
          <w:rFonts w:ascii="Times New Roman" w:hAnsi="Times New Roman"/>
          <w:sz w:val="20"/>
          <w:u w:val="single"/>
        </w:rPr>
        <w:t>Section 2.07</w:t>
      </w:r>
      <w:r>
        <w:rPr>
          <w:rFonts w:ascii="Times New Roman" w:hAnsi="Times New Roman"/>
          <w:sz w:val="20"/>
        </w:rPr>
        <w:t xml:space="preserve">, it ceases to be outstanding unless the Trustee receives proof satisfactory to it that the replaced Note is held by a protected purchaser, as such term is defined in Section 8-303 of the New York UCC. </w:t>
      </w:r>
    </w:p>
    <w:p>
      <w:pPr>
        <w:pStyle w:val="TextBody"/>
        <w:bidi w:val="0"/>
        <w:spacing w:before="240" w:after="0"/>
        <w:jc w:val="left"/>
        <w:rPr>
          <w:rFonts w:ascii="Times New Roman" w:hAnsi="Times New Roman"/>
          <w:sz w:val="20"/>
        </w:rPr>
      </w:pPr>
      <w:r>
        <w:rPr>
          <w:rFonts w:ascii="Times New Roman" w:hAnsi="Times New Roman"/>
          <w:sz w:val="20"/>
        </w:rPr>
        <w:t xml:space="preserve">(c) If the principal amount of any Note is considered paid under </w:t>
      </w:r>
      <w:r>
        <w:rPr>
          <w:rFonts w:ascii="Times New Roman" w:hAnsi="Times New Roman"/>
          <w:sz w:val="20"/>
          <w:u w:val="single"/>
        </w:rPr>
        <w:t>Section 5.01</w:t>
      </w:r>
      <w:r>
        <w:rPr>
          <w:rFonts w:ascii="Times New Roman" w:hAnsi="Times New Roman"/>
          <w:sz w:val="20"/>
        </w:rPr>
        <w:t xml:space="preserve">, it ceases to be outstanding and interest on it ceases to accrue from and after the date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(d) If a Paying Agent (other than the Issuer, a Subsidiary or an Affiliate of any thereof) holds, on the maturity date, any redemption date or any date of purchase pursuant to a Change of Control Offer, money sufficient to pay Notes payable or to be redeemed or purchased on that date, then on and after that date such Notes shall be deemed to be no longer outstanding and shall cease to accrue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Treasury Notes</w:t>
      </w:r>
      <w:r>
        <w:rPr>
          <w:rFonts w:ascii="Times New Roman" w:hAnsi="Times New Roman"/>
          <w:sz w:val="20"/>
        </w:rPr>
        <w:t xml:space="preserve">. In determining whether the Holders of the requisite principal amount of Notes have concurred in any direction, waiver or consent, Notes beneficially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has written notice as being so owned shall be so disregarded. Notes so owned which have been pledged in good faith shall not be disregarded if the pledgee establishes to the satisfaction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the pledgee’s right to deliver any such direction, waiver or consent with respect to the Notes and that the pledgee is not the Issuer or any obligor upon the Notes or any Affiliate of the Issuer or of such other obligor. Notwithstanding the foregoing, Notes that are to be acquired by the Issuer or an Affiliate of the Issuer pursuant to an exchange offer, tender offer or other agreement shall not be deemed to be owned by such entity until legal title to such Notes passes to such entity. To the extent the Issuer acquires Notes, the Issuer may in its discretion, but is not required to, submit such Notes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Temporary Notes</w:t>
      </w:r>
      <w:r>
        <w:rPr>
          <w:rFonts w:ascii="Times New Roman" w:hAnsi="Times New Roman"/>
          <w:sz w:val="20"/>
        </w:rPr>
        <w:t xml:space="preserve">. Until Definitive Notes are ready for delivery, the Issuer may prepare and the Trustee, upon receipt of an Authentication Order, shall authenticate temporary Notes. Temporary Notes shall be substantially in the form of Definitive Notes but may have variations that the Issuer considers appropriate for temporary Notes. Without unreasonable delay, the Issuer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Cancellation</w:t>
      </w:r>
      <w:r>
        <w:rPr>
          <w:rFonts w:ascii="Times New Roman" w:hAnsi="Times New Roman"/>
          <w:sz w:val="20"/>
        </w:rPr>
        <w:t xml:space="preserve">. All Notes surrendered for payment, redemption, registration of transfer or exchange or for credit against any current or future sinking fund payment shall, if surrendered to any Person other than the Trustee, be delivered to the Trustee. All Notes so delivered to the Trustee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promptly cancelled by the Trustee. If the Issuer shall acquire any of the Notes, however, such acquisition shall not operate as a redemption, cancellation or satisfaction of the indebtedness represented by such Notes unless and until the same are surrendered to the Trustee for cancellation. If the Issuer or any of its Restricted Subsidiaries acquires any of the Notes, the Issuer and its Restricted Subsidiaries may, but are not required to, submit such Notes to the Trustee for cancellation. No Notes shall be authenticated in lieu of or in exchange for any Notes cancelled as provided in this </w:t>
      </w:r>
      <w:r>
        <w:rPr>
          <w:rFonts w:ascii="Times New Roman" w:hAnsi="Times New Roman"/>
          <w:sz w:val="20"/>
          <w:u w:val="single"/>
        </w:rPr>
        <w:t>Section 2.11</w:t>
      </w:r>
      <w:r>
        <w:rPr>
          <w:rFonts w:ascii="Times New Roman" w:hAnsi="Times New Roman"/>
          <w:sz w:val="20"/>
        </w:rPr>
        <w:t xml:space="preserve">, except as expressly permitted by this Indenture. All cancelled Notes held by the Trustee shall be disposed of by the Trustee in accordance with its customary procedures. The Issuer may not issue new Notes or replace Notes that it has paid or that have been delivered to Trustee for cancellation. The Trustee shall, at the Issuer’s written request, provide certification of the disposal of cancelled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Calculations</w:t>
      </w:r>
      <w:r>
        <w:rPr>
          <w:rFonts w:ascii="Times New Roman" w:hAnsi="Times New Roman"/>
          <w:sz w:val="20"/>
        </w:rPr>
        <w:t xml:space="preserve">. The Calculation Agent shall as soon as practicable (but in any event no later than five (5) days prior to any Interest Payment Date or the date of any other amount payable under this </w:t>
      </w:r>
      <w:r>
        <w:rPr>
          <w:rFonts w:ascii="Times New Roman" w:hAnsi="Times New Roman"/>
          <w:sz w:val="20"/>
          <w:u w:val="single"/>
        </w:rPr>
        <w:t>Section 2.12</w:t>
      </w:r>
      <w:r>
        <w:rPr>
          <w:rFonts w:ascii="Times New Roman" w:hAnsi="Times New Roman"/>
          <w:sz w:val="20"/>
        </w:rPr>
        <w:t xml:space="preserve">) notify the Issuer and the Holders of the payment date and the amount of interest payment, or other payment due on such Interest Payment Date. Each determination of an interest rate or interest payment amount by the Calculation Agent pursuant to any provision of this Indenture shall be conclusive and binding on the Issuer and the Holders in the absence of manifest error. Concurrent with each notice delivered pursuant to this </w:t>
      </w:r>
      <w:r>
        <w:rPr>
          <w:rFonts w:ascii="Times New Roman" w:hAnsi="Times New Roman"/>
          <w:sz w:val="20"/>
          <w:u w:val="single"/>
        </w:rPr>
        <w:t>Section 2.12</w:t>
      </w:r>
      <w:r>
        <w:rPr>
          <w:rFonts w:ascii="Times New Roman" w:hAnsi="Times New Roman"/>
          <w:sz w:val="20"/>
        </w:rPr>
        <w:t xml:space="preserve">, the Calculation Agent shall deliver to the Issuer and the Holders showing the quotations used by the Calculation Agent in determining any interest rate, if applicable, and the calculations related to any interest payment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Interest on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Interest Election</w:t>
      </w:r>
      <w:r>
        <w:rPr>
          <w:rFonts w:ascii="Times New Roman" w:hAnsi="Times New Roman"/>
          <w:sz w:val="20"/>
        </w:rPr>
        <w:t xml:space="preserve">. At least five (5) Business Days prior to the expiration of the then current Interest Period (with respect to SOFR Notes) or before an Interest Payment Date (with respect to ABR Notes), the Issuer shall deliver an Interest Election Request to the Trustee, the Calculation Agent and the Paying Agent pursuant to which the Issuer shall elect (i) in the case of a SOFR Note, to (x) continue such Note as a SOFR Note with such Interest Period duration as the Issuer may specify in such notice or (y) convert such Note to an ABR Note upon the expiration of the then current Interest Period or (ii) in the case of an ABR Note, to (x) continue such Note as an ABR Note or (y) convert such Note to a SOFR Note with such Interest Period duration as the Issuer may specify effective as of the upcoming Interest Payment Date. In the absence of receipt of an Interest Election Request by the time specified in the immediately preceding sentence, (i) in the case of a SOFR Note, such Note shall continue as a SOFR Note with an Interest Period of the same duration and (ii) in the case of an ABR Note, such ABR Note shall continue as an ABR Note effective as of the upcoming Interest Payment Date. At all times, there shall be only ABR Notes or only SOFR Notes. The Initial Notes were issued as SOFR Notes with an Interest Period of one (1) month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ABR Notes</w:t>
      </w:r>
      <w:r>
        <w:rPr>
          <w:rFonts w:ascii="Times New Roman" w:hAnsi="Times New Roman"/>
          <w:sz w:val="20"/>
        </w:rPr>
        <w:t xml:space="preserve">. Subject to the provisions of </w:t>
      </w:r>
      <w:r>
        <w:rPr>
          <w:rFonts w:ascii="Times New Roman" w:hAnsi="Times New Roman"/>
          <w:sz w:val="20"/>
          <w:u w:val="single"/>
        </w:rPr>
        <w:t>Section 2.13(d)</w:t>
      </w:r>
      <w:r>
        <w:rPr>
          <w:rFonts w:ascii="Times New Roman" w:hAnsi="Times New Roman"/>
          <w:sz w:val="20"/>
        </w:rPr>
        <w:t xml:space="preserve"> and </w:t>
      </w:r>
      <w:r>
        <w:rPr>
          <w:rFonts w:ascii="Times New Roman" w:hAnsi="Times New Roman"/>
          <w:sz w:val="20"/>
          <w:u w:val="single"/>
        </w:rPr>
        <w:t>2.13(g)</w:t>
      </w:r>
      <w:r>
        <w:rPr>
          <w:rFonts w:ascii="Times New Roman" w:hAnsi="Times New Roman"/>
          <w:sz w:val="20"/>
        </w:rPr>
        <w:t xml:space="preserve">, the ABR Notes shall bear interest at a rate per annum equal to the Alternate Base Rate </w:t>
      </w:r>
      <w:r>
        <w:rPr>
          <w:rFonts w:ascii="Times New Roman" w:hAnsi="Times New Roman"/>
          <w:i/>
          <w:sz w:val="20"/>
        </w:rPr>
        <w:t>plus</w:t>
      </w:r>
      <w:r>
        <w:rPr>
          <w:rFonts w:ascii="Times New Roman" w:hAnsi="Times New Roman"/>
          <w:sz w:val="20"/>
        </w:rPr>
        <w:t xml:space="preserve"> the Applicable Margin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SOFR Notes</w:t>
      </w:r>
      <w:r>
        <w:rPr>
          <w:rFonts w:ascii="Times New Roman" w:hAnsi="Times New Roman"/>
          <w:sz w:val="20"/>
        </w:rPr>
        <w:t xml:space="preserve">. Subject to the provisions of </w:t>
      </w:r>
      <w:r>
        <w:rPr>
          <w:rFonts w:ascii="Times New Roman" w:hAnsi="Times New Roman"/>
          <w:sz w:val="20"/>
          <w:u w:val="single"/>
        </w:rPr>
        <w:t>Section 2.13(d)</w:t>
      </w:r>
      <w:r>
        <w:rPr>
          <w:rFonts w:ascii="Times New Roman" w:hAnsi="Times New Roman"/>
          <w:sz w:val="20"/>
        </w:rPr>
        <w:t xml:space="preserve"> and </w:t>
      </w:r>
      <w:r>
        <w:rPr>
          <w:rFonts w:ascii="Times New Roman" w:hAnsi="Times New Roman"/>
          <w:sz w:val="20"/>
          <w:u w:val="single"/>
        </w:rPr>
        <w:t>2.13(g)</w:t>
      </w:r>
      <w:r>
        <w:rPr>
          <w:rFonts w:ascii="Times New Roman" w:hAnsi="Times New Roman"/>
          <w:sz w:val="20"/>
        </w:rPr>
        <w:t xml:space="preserve">, the SOFR Notes shall bear interest at a rate per annum equal to the applicable Term SOFR for the Interest Period in effect for such Note </w:t>
      </w:r>
      <w:r>
        <w:rPr>
          <w:rFonts w:ascii="Times New Roman" w:hAnsi="Times New Roman"/>
          <w:i/>
          <w:sz w:val="20"/>
        </w:rPr>
        <w:t>plus</w:t>
      </w:r>
      <w:r>
        <w:rPr>
          <w:rFonts w:ascii="Times New Roman" w:hAnsi="Times New Roman"/>
          <w:sz w:val="20"/>
        </w:rPr>
        <w:t xml:space="preserve"> the Applicable Margin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Default Rate and Interest Payable at Default Rate</w:t>
      </w:r>
      <w:r>
        <w:rPr>
          <w:rFonts w:ascii="Times New Roman" w:hAnsi="Times New Roman"/>
          <w:sz w:val="20"/>
        </w:rPr>
        <w:t xml:space="preserve">. Notwithstanding the foregoing, upon the occurrence and during the existence of an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8.01(b)</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the overdue Obligations and, at the election of the Controlling Parties, any other Obligations, shall bear interest at a </w:t>
      </w:r>
      <w:r>
        <w:rPr>
          <w:rFonts w:ascii="Times New Roman" w:hAnsi="Times New Roman"/>
          <w:i/>
          <w:sz w:val="20"/>
        </w:rPr>
        <w:t>per</w:t>
      </w:r>
      <w:r>
        <w:rPr>
          <w:rFonts w:ascii="Times New Roman" w:hAnsi="Times New Roman"/>
          <w:sz w:val="20"/>
        </w:rPr>
        <w:t xml:space="preserve"> </w:t>
      </w:r>
      <w:r>
        <w:rPr>
          <w:rFonts w:ascii="Times New Roman" w:hAnsi="Times New Roman"/>
          <w:i/>
          <w:sz w:val="20"/>
        </w:rPr>
        <w:t>annum</w:t>
      </w:r>
      <w:r>
        <w:rPr>
          <w:rFonts w:ascii="Times New Roman" w:hAnsi="Times New Roman"/>
          <w:sz w:val="20"/>
        </w:rPr>
        <w:t xml:space="preserve"> rate equal to (i) in the case of principal on any Note, two percent (2.00%) </w:t>
      </w:r>
      <w:r>
        <w:rPr>
          <w:rFonts w:ascii="Times New Roman" w:hAnsi="Times New Roman"/>
          <w:i/>
          <w:sz w:val="20"/>
        </w:rPr>
        <w:t>plus</w:t>
      </w:r>
      <w:r>
        <w:rPr>
          <w:rFonts w:ascii="Times New Roman" w:hAnsi="Times New Roman"/>
          <w:sz w:val="20"/>
        </w:rPr>
        <w:t xml:space="preserve"> the rate otherwise applicable to such Note as provided in </w:t>
      </w:r>
      <w:r>
        <w:rPr>
          <w:rFonts w:ascii="Times New Roman" w:hAnsi="Times New Roman"/>
          <w:sz w:val="20"/>
          <w:u w:val="single"/>
        </w:rPr>
        <w:t>Section 2.13(b)</w:t>
      </w:r>
      <w:r>
        <w:rPr>
          <w:rFonts w:ascii="Times New Roman" w:hAnsi="Times New Roman"/>
          <w:sz w:val="20"/>
        </w:rPr>
        <w:t xml:space="preserve"> and </w:t>
      </w:r>
      <w:r>
        <w:rPr>
          <w:rFonts w:ascii="Times New Roman" w:hAnsi="Times New Roman"/>
          <w:sz w:val="20"/>
          <w:u w:val="single"/>
        </w:rPr>
        <w:t>Section 2.13(c)</w:t>
      </w:r>
      <w:r>
        <w:rPr>
          <w:rFonts w:ascii="Times New Roman" w:hAnsi="Times New Roman"/>
          <w:sz w:val="20"/>
        </w:rPr>
        <w:t xml:space="preserve"> or (ii) in the case of any other such Obligations, two percent (2.00%) </w:t>
      </w:r>
      <w:r>
        <w:rPr>
          <w:rFonts w:ascii="Times New Roman" w:hAnsi="Times New Roman"/>
          <w:i/>
          <w:sz w:val="20"/>
        </w:rPr>
        <w:t>plus</w:t>
      </w:r>
      <w:r>
        <w:rPr>
          <w:rFonts w:ascii="Times New Roman" w:hAnsi="Times New Roman"/>
          <w:sz w:val="20"/>
        </w:rPr>
        <w:t xml:space="preserve"> the rate applicable to ABR Notes as provided in </w:t>
      </w:r>
      <w:r>
        <w:rPr>
          <w:rFonts w:ascii="Times New Roman" w:hAnsi="Times New Roman"/>
          <w:sz w:val="20"/>
          <w:u w:val="single"/>
        </w:rPr>
        <w:t>Section 2.13(b)</w:t>
      </w:r>
      <w:r>
        <w:rPr>
          <w:rFonts w:ascii="Times New Roman" w:hAnsi="Times New Roman"/>
          <w:sz w:val="20"/>
        </w:rPr>
        <w:t xml:space="preserve">. The Issuer shall pay such interest to the Persons who are Holders on a subsequent special record date at the rate provided in this </w:t>
      </w:r>
      <w:r>
        <w:rPr>
          <w:rFonts w:ascii="Times New Roman" w:hAnsi="Times New Roman"/>
          <w:sz w:val="20"/>
          <w:u w:val="single"/>
        </w:rPr>
        <w:t>Section 2.13(d)</w:t>
      </w:r>
      <w:r>
        <w:rPr>
          <w:rFonts w:ascii="Times New Roman" w:hAnsi="Times New Roman"/>
          <w:sz w:val="20"/>
        </w:rPr>
        <w:t xml:space="preserve">. The Issuer shall notify the Trustee and the Paying Agent in writing of the amount of such interest proposed to be paid on each Note and the date of the proposed payment, and at the same time the Issuer shall deposit with the Trustee or the Paying Agent an amount of money equal to the aggregate amount proposed to be paid in respect of such interest or shall make arrangements satisfactory to the Trustee for such deposit prior to the date of the proposed payment, such money when deposited to be held in trust for the benefit of the Persons entitled to such interest as provided in this </w:t>
      </w:r>
      <w:r>
        <w:rPr>
          <w:rFonts w:ascii="Times New Roman" w:hAnsi="Times New Roman"/>
          <w:sz w:val="20"/>
          <w:u w:val="single"/>
        </w:rPr>
        <w:t>Section 2.13</w:t>
      </w:r>
      <w:r>
        <w:rPr>
          <w:rFonts w:ascii="Times New Roman" w:hAnsi="Times New Roman"/>
          <w:sz w:val="20"/>
        </w:rPr>
        <w:t xml:space="preserve">. The Issuer shall fix or cause to be fixed any such special record date and payment date; provided that no such special record date shall be less than 10 days prior to the related payment date for such interest. The Issuer shall promptly notify the Trustee and the Paying Agent of any such special record date. At least 15 days before any such special record date, the Issuer (or, upon the written request of the Issuer, the Trustee or the Paying Agent in the name and at the expense of the Issuer) shall send or cause to be sent to each Holder, with a copy to the Trustee and the Paying Agent, a notice at his or her address as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appears in the Note Register that states the special record date, the related payment date and the amount of such interest to be paid. Subject to the foregoing provisions of this </w:t>
      </w:r>
      <w:r>
        <w:rPr>
          <w:rFonts w:ascii="Times New Roman" w:hAnsi="Times New Roman"/>
          <w:sz w:val="20"/>
          <w:u w:val="single"/>
        </w:rPr>
        <w:t>Section 2.13</w:t>
      </w:r>
      <w:r>
        <w:rPr>
          <w:rFonts w:ascii="Times New Roman" w:hAnsi="Times New Roman"/>
          <w:sz w:val="20"/>
        </w:rPr>
        <w:t xml:space="preserve"> and for greater certainty, each Note delivered under this Indenture upon registration of transfer of or in exchange for or in lieu of any other Note shall carry the rights to interest accrued and unpaid, and to accrue interest, which were carried by such other Note.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Yield</w:t>
      </w:r>
      <w:r>
        <w:rPr>
          <w:rFonts w:ascii="Times New Roman" w:hAnsi="Times New Roman"/>
          <w:i/>
          <w:sz w:val="20"/>
        </w:rPr>
        <w:t xml:space="preserve">. </w:t>
      </w:r>
      <w:r>
        <w:rPr>
          <w:rFonts w:ascii="Times New Roman" w:hAnsi="Times New Roman"/>
          <w:sz w:val="20"/>
        </w:rPr>
        <w:t xml:space="preserve">If the initial Yield on any Pari Passu Notes Lien Indebtedness incurred pursuant to </w:t>
      </w:r>
      <w:r>
        <w:rPr>
          <w:rFonts w:ascii="Times New Roman" w:hAnsi="Times New Roman"/>
          <w:sz w:val="20"/>
          <w:u w:val="single"/>
        </w:rPr>
        <w:t>Section 6.01(d)</w:t>
      </w:r>
      <w:r>
        <w:rPr>
          <w:rFonts w:ascii="Times New Roman" w:hAnsi="Times New Roman"/>
          <w:sz w:val="20"/>
        </w:rPr>
        <w:t xml:space="preserve"> or any Permitted Additional Debt in the form of loans or notes secured on a </w:t>
      </w:r>
      <w:r>
        <w:rPr>
          <w:rFonts w:ascii="Times New Roman" w:hAnsi="Times New Roman"/>
          <w:i/>
          <w:sz w:val="20"/>
        </w:rPr>
        <w:t xml:space="preserve">pari passu </w:t>
      </w:r>
      <w:r>
        <w:rPr>
          <w:rFonts w:ascii="Times New Roman" w:hAnsi="Times New Roman"/>
          <w:sz w:val="20"/>
        </w:rPr>
        <w:t>basis with the Obligations incurred pursuant to Section 6.01(a) exceeds the then applicable Yield on the Notes by more than 50 basis points (the amount of such excess above 50 basis points being referred to herein as the “</w:t>
      </w:r>
      <w:r>
        <w:rPr>
          <w:rFonts w:ascii="Times New Roman" w:hAnsi="Times New Roman"/>
          <w:b/>
          <w:sz w:val="20"/>
        </w:rPr>
        <w:t>Yield Differential</w:t>
      </w:r>
      <w:r>
        <w:rPr>
          <w:rFonts w:ascii="Times New Roman" w:hAnsi="Times New Roman"/>
          <w:sz w:val="20"/>
        </w:rPr>
        <w:t>”), then the Applicable Margin then in effect for the Notes shall, upon receipt by the Trustee and the Calculation Agent of an Officer’s Certificate notifying it of such increase, be increased by the Yield Differential beginning on the Interest Payment Date after receipt of such Officer’s Certificate. “</w:t>
      </w:r>
      <w:r>
        <w:rPr>
          <w:rFonts w:ascii="Times New Roman" w:hAnsi="Times New Roman"/>
          <w:b/>
          <w:sz w:val="20"/>
        </w:rPr>
        <w:t>Yield</w:t>
      </w:r>
      <w:r>
        <w:rPr>
          <w:rFonts w:ascii="Times New Roman" w:hAnsi="Times New Roman"/>
          <w:sz w:val="20"/>
        </w:rPr>
        <w:t xml:space="preserve">” means, with respect to any indebtedness, the then “effective yield” on such Indebtedness consistent with generally accepted financial practice, it being understood that (a) any amendments to the Applicable Margin prior to the applicable Indebtedness incurrence date shall be included, (b) customary arrangement, commitment, structuring, underwriting, ticking, unused line and amendment fees paid or payable to one or more placement agents, underwriters, initial purchasers or arrangers (or their Affiliates) (regardless of whether such fees are paid to or shared in whole or in part with any debt financing source) in their respective capacities as such in connection with the applicable Indebtedness (and the Notes) and any other fees that are not generally payable to all lenders, noteholders or other debt financing sources (or their Affiliates) ratably with respect to any such Indebtedness (and the Notes) and that are paid or payable in connection with such Indebtedness (or the Notes) shall be excluded, (c) original issue discount and upfront fees paid or payable to the debt financing sources thereunder (and with respect to the Notes) shall be included (with original issue discount and upfront fees being equated to interest based on assumed four-year life to maturity (or, if less, the remaining life to maturity) without any present value discount) and (d) to the extent that Term SOFR for a three-month interest period on the closing date of any such Indebtedness is less than the interest rate floor, if any, applicable to any such Indebtedness, the amount of such difference shall be deemed added to the interest rate margins for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Interest Payment Dates</w:t>
      </w:r>
      <w:r>
        <w:rPr>
          <w:rFonts w:ascii="Times New Roman" w:hAnsi="Times New Roman"/>
          <w:sz w:val="20"/>
        </w:rPr>
        <w:t xml:space="preserve">. Accrued interest on each Note shall be payable in arrears on each Interest Payment Date for such Note; </w:t>
      </w:r>
      <w:r>
        <w:rPr>
          <w:rFonts w:ascii="Times New Roman" w:hAnsi="Times New Roman"/>
          <w:i/>
          <w:sz w:val="20"/>
        </w:rPr>
        <w:t>provided</w:t>
      </w:r>
      <w:r>
        <w:rPr>
          <w:rFonts w:ascii="Times New Roman" w:hAnsi="Times New Roman"/>
          <w:sz w:val="20"/>
        </w:rPr>
        <w:t xml:space="preserve">, that, (i) additional interest accrued pursuant to </w:t>
      </w:r>
      <w:r>
        <w:rPr>
          <w:rFonts w:ascii="Times New Roman" w:hAnsi="Times New Roman"/>
          <w:sz w:val="20"/>
          <w:u w:val="single"/>
        </w:rPr>
        <w:t>Section 2.13(d)</w:t>
      </w:r>
      <w:r>
        <w:rPr>
          <w:rFonts w:ascii="Times New Roman" w:hAnsi="Times New Roman"/>
          <w:sz w:val="20"/>
        </w:rPr>
        <w:t xml:space="preserve"> shall be payable in accordance with </w:t>
      </w:r>
      <w:r>
        <w:rPr>
          <w:rFonts w:ascii="Times New Roman" w:hAnsi="Times New Roman"/>
          <w:sz w:val="20"/>
          <w:u w:val="single"/>
        </w:rPr>
        <w:t>Section 2.13(d)</w:t>
      </w:r>
      <w:r>
        <w:rPr>
          <w:rFonts w:ascii="Times New Roman" w:hAnsi="Times New Roman"/>
          <w:sz w:val="20"/>
        </w:rPr>
        <w:t xml:space="preserve"> and (ii) in the event of any repayment, redemption or prepayment of any Note, accrued interest on the principal amount repaid or prepaid shall be payable on the date of such repayment or prepayment.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PIK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With respect to payments of interest due on any Interest Payment Dates occurring prior to the Maturity Date, the Issuer shall have the option to make any such interest payments in whole or in part (i) in kind (such election, a “</w:t>
      </w:r>
      <w:r>
        <w:rPr>
          <w:rFonts w:ascii="Times New Roman" w:hAnsi="Times New Roman"/>
          <w:b/>
          <w:sz w:val="20"/>
        </w:rPr>
        <w:t>PIK Election</w:t>
      </w:r>
      <w:r>
        <w:rPr>
          <w:rFonts w:ascii="Times New Roman" w:hAnsi="Times New Roman"/>
          <w:sz w:val="20"/>
        </w:rPr>
        <w:t>” and such interest, “</w:t>
      </w:r>
      <w:r>
        <w:rPr>
          <w:rFonts w:ascii="Times New Roman" w:hAnsi="Times New Roman"/>
          <w:b/>
          <w:sz w:val="20"/>
        </w:rPr>
        <w:t>PIK Interest</w:t>
      </w:r>
      <w:r>
        <w:rPr>
          <w:rFonts w:ascii="Times New Roman" w:hAnsi="Times New Roman"/>
          <w:sz w:val="20"/>
        </w:rPr>
        <w:t xml:space="preserve">”) at a </w:t>
      </w:r>
      <w:r>
        <w:rPr>
          <w:rFonts w:ascii="Times New Roman" w:hAnsi="Times New Roman"/>
          <w:i/>
          <w:sz w:val="20"/>
        </w:rPr>
        <w:t xml:space="preserve">per annum rate </w:t>
      </w:r>
      <w:r>
        <w:rPr>
          <w:rFonts w:ascii="Times New Roman" w:hAnsi="Times New Roman"/>
          <w:sz w:val="20"/>
        </w:rPr>
        <w:t xml:space="preserve">equal to 1.00% </w:t>
      </w:r>
      <w:r>
        <w:rPr>
          <w:rFonts w:ascii="Times New Roman" w:hAnsi="Times New Roman"/>
          <w:i/>
          <w:sz w:val="20"/>
        </w:rPr>
        <w:t xml:space="preserve">plus </w:t>
      </w:r>
      <w:r>
        <w:rPr>
          <w:rFonts w:ascii="Times New Roman" w:hAnsi="Times New Roman"/>
          <w:sz w:val="20"/>
        </w:rPr>
        <w:t xml:space="preserve">the rate otherwise applicable to such Note as provided in </w:t>
      </w:r>
      <w:r>
        <w:rPr>
          <w:rFonts w:ascii="Times New Roman" w:hAnsi="Times New Roman"/>
          <w:sz w:val="20"/>
          <w:u w:val="single"/>
        </w:rPr>
        <w:t>Section 2.13(a)</w:t>
      </w:r>
      <w:r>
        <w:rPr>
          <w:rFonts w:ascii="Times New Roman" w:hAnsi="Times New Roman"/>
          <w:sz w:val="20"/>
        </w:rPr>
        <w:t xml:space="preserve"> and </w:t>
      </w:r>
      <w:r>
        <w:rPr>
          <w:rFonts w:ascii="Times New Roman" w:hAnsi="Times New Roman"/>
          <w:sz w:val="20"/>
          <w:u w:val="single"/>
        </w:rPr>
        <w:t>Section 2.13(b)</w:t>
      </w:r>
      <w:r>
        <w:rPr>
          <w:rFonts w:ascii="Times New Roman" w:hAnsi="Times New Roman"/>
          <w:sz w:val="20"/>
        </w:rPr>
        <w:t xml:space="preserve"> or (ii) in cash (such election, a “</w:t>
      </w:r>
      <w:r>
        <w:rPr>
          <w:rFonts w:ascii="Times New Roman" w:hAnsi="Times New Roman"/>
          <w:b/>
          <w:sz w:val="20"/>
        </w:rPr>
        <w:t>Cash Election</w:t>
      </w:r>
      <w:r>
        <w:rPr>
          <w:rFonts w:ascii="Times New Roman" w:hAnsi="Times New Roman"/>
          <w:sz w:val="20"/>
        </w:rPr>
        <w:t xml:space="preserve">”) at the rate applicable to such Note as provided in </w:t>
      </w:r>
      <w:r>
        <w:rPr>
          <w:rFonts w:ascii="Times New Roman" w:hAnsi="Times New Roman"/>
          <w:sz w:val="20"/>
          <w:u w:val="single"/>
        </w:rPr>
        <w:t>Section 2.13(a)</w:t>
      </w:r>
      <w:r>
        <w:rPr>
          <w:rFonts w:ascii="Times New Roman" w:hAnsi="Times New Roman"/>
          <w:sz w:val="20"/>
        </w:rPr>
        <w:t xml:space="preserve"> and </w:t>
      </w:r>
      <w:r>
        <w:rPr>
          <w:rFonts w:ascii="Times New Roman" w:hAnsi="Times New Roman"/>
          <w:sz w:val="20"/>
          <w:u w:val="single"/>
        </w:rPr>
        <w:t>Section 2.13(b)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any Interest Payment Date with respect to which the Issuer makes a PIK Election, such PIK Election shall be made by the Issuer delivering a written notice in the form attached hereto as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b/>
          <w:sz w:val="20"/>
        </w:rPr>
        <w:t>PIK Interest Election Notice</w:t>
      </w:r>
      <w:r>
        <w:rPr>
          <w:rFonts w:ascii="Times New Roman" w:hAnsi="Times New Roman"/>
          <w:sz w:val="20"/>
        </w:rPr>
        <w:t xml:space="preserve">”) to the Trustee (not later than 12:00 p.m., New York City time), at least ten (10) days prior to (x) with respect to SOFR Notes, the beginning of the applicable Interest Period during which such election shall apply, or (y) with respect to ABR Notes, the applicable Interest Payment Date upon and following which such election shall apply. If the Issuer fails to provide a PIK Interest Election Notice, the Issuer shall be deemed to have made a Cash Election. </w:t>
      </w:r>
    </w:p>
    <w:p>
      <w:pPr>
        <w:pStyle w:val="TextBody"/>
        <w:bidi w:val="0"/>
        <w:spacing w:before="240" w:after="0"/>
        <w:jc w:val="left"/>
        <w:rPr>
          <w:rFonts w:ascii="Times New Roman" w:hAnsi="Times New Roman"/>
          <w:sz w:val="20"/>
        </w:rPr>
      </w:pPr>
      <w:r>
        <w:rPr>
          <w:rFonts w:ascii="Times New Roman" w:hAnsi="Times New Roman"/>
          <w:sz w:val="20"/>
        </w:rPr>
        <w:t xml:space="preserve">(ii) PIK Interest on the Notes, for applicable interest periods, will be payable on the Interest Payment Date to which such PIK Election relates (x) with respect to Notes represented by one or more Global Notes registered in the name of, or held by, the Depositary or its nominee on the relevant record date, by increasing the principal amount of the outstanding Global Notes by an amount equal to the amount of PIK Interest for the applicable interest period (rounded up to the nearest whole Dollar) and (y) with respect to Notes represented by certificated notes, by issuing PIK Notes in certificated form in an aggregate principal amount equal to the amount of PIK Interest for the applicable period (rounded up to the nearest whole Dollar), and the Trustee will, at the request of the Issuer, authenticate and deliver such PIK Notes in certificated form for original issuance to the Holders on the relevant record date, as shown by the Note Register. Following a PIK Election, the Notes will bear interest at the rate set forth in </w:t>
      </w:r>
      <w:r>
        <w:rPr>
          <w:rFonts w:ascii="Times New Roman" w:hAnsi="Times New Roman"/>
          <w:sz w:val="20"/>
          <w:u w:val="single"/>
        </w:rPr>
        <w:t>Section 2.13(g)(i)</w:t>
      </w:r>
      <w:r>
        <w:rPr>
          <w:rFonts w:ascii="Times New Roman" w:hAnsi="Times New Roman"/>
          <w:sz w:val="20"/>
        </w:rPr>
        <w:t xml:space="preserve"> above from and after (x) in the case of SOFR Notes, the first day of the Interest Period to which such PIK Election relates and (y) in the case of ABR Notes, the Interest Payment Date constituting the beginning of the period for which such PIK Election relates. Any PIK Notes issued in certificated form will be dated as of the Interest Payment Date to which such PIK Election relates and will bear interest from and after such date. All PIK Notes issued pursuant to a PIK Election will mature on the Maturity Date and will be governed by, and subject to the terms, provisions and conditions of, the Indenture and shall have the same rights and benefits as the Notes issued on the Closing Date. Any certificated PIK Notes will be issued with the description “PIK” on the face of such Notes, and references to the “principal amount” of the Notes shall include any increase in the principal amount of the Notes as a result of any PIK Interest. The calculation of PIK Interest will be made by the Calculation Agent, and such calculation and the correctness thereof shall not be a duty or obligation of the Trustee. PIK Interest on the Notes will be paid in denominations of $1.00 and integral multiples of $1.00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Interest Calculation</w:t>
      </w:r>
      <w:r>
        <w:rPr>
          <w:rFonts w:ascii="Times New Roman" w:hAnsi="Times New Roman"/>
          <w:sz w:val="20"/>
        </w:rPr>
        <w:t xml:space="preserve">. All interest hereunder shall be computed on the basis of a year of three hundred sixty (360) days, except that interest computed by reference to the Base Rate in </w:t>
      </w:r>
      <w:r>
        <w:rPr>
          <w:rFonts w:ascii="Times New Roman" w:hAnsi="Times New Roman"/>
          <w:sz w:val="20"/>
          <w:u w:val="single"/>
        </w:rPr>
        <w:t>clause (a)</w:t>
      </w:r>
      <w:r>
        <w:rPr>
          <w:rFonts w:ascii="Times New Roman" w:hAnsi="Times New Roman"/>
          <w:sz w:val="20"/>
        </w:rPr>
        <w:t xml:space="preserve"> of the definition of “Alternate Base Rate” shall be computed on the basis of a year of three hundred sixty-five (365) days (or three hundred sixty-six (366) days in a leap year), and in each case shall be payable for the actual number of days elapsed (including the first day but excluding the last day). The applicable Alternate Base Rate or Term SOFR shall be determined in accordance with the provisions of this Indenture and such determination shall be deemed presumptively correct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Term SOFR Conforming Changes</w:t>
      </w:r>
      <w:r>
        <w:rPr>
          <w:rFonts w:ascii="Times New Roman" w:hAnsi="Times New Roman"/>
          <w:sz w:val="20"/>
        </w:rPr>
        <w:t xml:space="preserve">. In connection with the use or administration of Term SOFR, the Issuer or its designee (with the approval of the Controlling Party) will have the right to make Conforming Changes from time to time and, notwithstanding anything to the contrary herein or in any other Note Document, any amendments implementing such Conforming Changes will become effective without any further action or consent of any other party to this Indenture or any other Note Document. The Issuer or its designee will promptly notify the Calculation Agent, the Trustee and the Holders of the effectiveness of any Conforming Changes in connection with the use or administration of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CUSIP and ISIN Numbers</w:t>
      </w:r>
      <w:r>
        <w:rPr>
          <w:rFonts w:ascii="Times New Roman" w:hAnsi="Times New Roman"/>
          <w:sz w:val="20"/>
        </w:rPr>
        <w:t xml:space="preserve">. The Issuer in issuing the Notes may use CUSIP or ISIN numbers (if then generally in use) and, if so, such CUSIP or ISIN numbers may be used in notices of redemption (including Change of Control Offers and Net Cash Proceeds Offers) as a convenience to Holders; </w:t>
      </w:r>
      <w:r>
        <w:rPr>
          <w:rFonts w:ascii="Times New Roman" w:hAnsi="Times New Roman"/>
          <w:i/>
          <w:sz w:val="20"/>
        </w:rPr>
        <w:t>provided</w:t>
      </w:r>
      <w:r>
        <w:rPr>
          <w:rFonts w:ascii="Times New Roman" w:hAnsi="Times New Roman"/>
          <w:sz w:val="20"/>
        </w:rPr>
        <w:t xml:space="preserve"> that the Trustee shall not be responsible for the accuracy of any CUSIP or ISIN number printed on any note, notice or elsewhere, any such notice may state that no representation is made as to the correctness of such numbers either as printed on the Notes or as contained in any notice of redemption (including Change of Control Offers and Net Cash Proceeds Offers) and that reliance may be placed only on the other identification numbers printed on the Notes, and any such redemption (including Change of Control Offers and Net Cash Proceeds Offers) shall not be affected by any defect in or omission of such numbers. The Issuer shall promptly notify the Trustee in writing of any change in the CUSIP or ISIN numbers.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Persons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due presentment of a Note for registration of transfer, the Issuer, the Trustee and any agent of the Issuer or the Trustee may treat the Person in whose name such Note is registered as the owner of such Note for the purpose of receiving payment of principal of (and premium, if any) and (subject to </w:t>
      </w:r>
      <w:r>
        <w:rPr>
          <w:rFonts w:ascii="Times New Roman" w:hAnsi="Times New Roman"/>
          <w:sz w:val="20"/>
          <w:u w:val="single"/>
        </w:rPr>
        <w:t>Section 2.13</w:t>
      </w:r>
      <w:r>
        <w:rPr>
          <w:rFonts w:ascii="Times New Roman" w:hAnsi="Times New Roman"/>
          <w:sz w:val="20"/>
        </w:rPr>
        <w:t xml:space="preserve">) interest, if any, on such Note and, subject to Section 1.12(i) for any other purposes whatsoever, whether or not such Note be overdue, and none of the Issuer, the Trustee or any agent of the Issuer or the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(b) None of the Issuer, the Trustee, the Calculation Agent, any Paying Agent or the Registrar will have any responsibility or liability for any aspect of (i) the records relating to or payments made on account of any participants in the Depositary or any beneficial ownership interests of a Global Note, (ii) maintaining, supervising or reviewing any records maintained by any Depositary or participant therein or any other Person relating to such beneficial ownership interests, or (iii) any consent given or other action taken by the Depositary or other Holder of a Note, as the registered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with respect to any Global Note, nothing herein shall prevent the Issuer, the Trustee, or any agent of the Issuer or the Trustee, from giving effect to any written certification, proxy or other authorization furnished by any Depositary, as a Holder, with respect to such Global Note or impair, as between such Depositary and owners of beneficial interests in such Global Note, the operation of customary practices governing the exercise of the rights of such Depositary (or its nominee) as Holder of such Global Note.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Alternate Rate of Interest</w:t>
      </w:r>
      <w:r>
        <w:rPr>
          <w:rFonts w:ascii="Times New Roman" w:hAnsi="Times New Roman"/>
          <w:sz w:val="20"/>
        </w:rPr>
        <w:t xml:space="preserve">. If prior to the commencement of any Interest Period for a SOFR Note: </w:t>
      </w:r>
    </w:p>
    <w:p>
      <w:pPr>
        <w:pStyle w:val="TextBody"/>
        <w:bidi w:val="0"/>
        <w:spacing w:before="240" w:after="0"/>
        <w:jc w:val="left"/>
        <w:rPr>
          <w:rFonts w:ascii="Times New Roman" w:hAnsi="Times New Roman"/>
          <w:sz w:val="20"/>
        </w:rPr>
      </w:pPr>
      <w:r>
        <w:rPr>
          <w:rFonts w:ascii="Times New Roman" w:hAnsi="Times New Roman"/>
          <w:sz w:val="20"/>
        </w:rPr>
        <w:t xml:space="preserve">(a) the Calculation Agent determines in good faith and in its reasonable discretion (which determination shall be deemed presumptively correct absent manifest error) that adequate and reasonable means do not exist for ascertaining Term SOFR for such Interest Period;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Calculation Agent determines in good faith and in its reasonable discretion or is advised in writing by the Controlling Parties that Term SOFR for such Interest Period will not adequately and fairly reflect the cost to such Holders of purchasing or maintaining their Notes for such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then the Calculation Agent shall give written notice thereof to the Issuer and the Holders as promptly as practicable thereafter and, until the Calculation Agent notifies the Issuer and the Holders that the circumstances giving rise to such notice no longer exist (which notice shall be delivered by the Calculation Agent promptly after such situation ceases to exist), (i) any Notes requested to be issued and purchased on the first day of such Interest Period shall be issued and purchased as ABR Notes and (ii) any outstanding Notes shall be converted, on the last day of the then-current Interest Period, to ABR Notes; </w:t>
      </w:r>
      <w:r>
        <w:rPr>
          <w:rFonts w:ascii="Times New Roman" w:hAnsi="Times New Roman"/>
          <w:i/>
          <w:sz w:val="20"/>
        </w:rPr>
        <w:t>provided</w:t>
      </w:r>
      <w:r>
        <w:rPr>
          <w:rFonts w:ascii="Times New Roman" w:hAnsi="Times New Roman"/>
          <w:sz w:val="20"/>
        </w:rPr>
        <w:t xml:space="preserve">, that, the Issuer may revoke any such issuance request (without penalty) prior to such issuance upon written notice to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to the contrary herein or in any other Note Document, if a Benchmark Transition Event and its related Benchmark Replacement Date have occurred prior to any setting of the then-current Benchmark, then such Benchmark Replacement will replace such Benchmark for all purposes hereunder and under any Note Document in respect of any Benchmark setting at or after 5:00 p.m. (New York City time) on the fifth (5th) Business Day after the date notice of such Benchmark Replacement is provided to the Holders, the Trustee and the Calculation Agent without any amendment to, or further action or consent of any other party to, this Indenture or any other Note Document so long as the Issuer has not received, by such time, written notice of objection to such Benchmark Replacement from Holders comprising the Controlling Parties. </w:t>
      </w:r>
    </w:p>
    <w:p>
      <w:pPr>
        <w:pStyle w:val="TextBody"/>
        <w:bidi w:val="0"/>
        <w:spacing w:before="240" w:after="0"/>
        <w:jc w:val="left"/>
        <w:rPr>
          <w:rFonts w:ascii="Times New Roman" w:hAnsi="Times New Roman"/>
          <w:sz w:val="20"/>
        </w:rPr>
      </w:pPr>
      <w:r>
        <w:rPr>
          <w:rFonts w:ascii="Times New Roman" w:hAnsi="Times New Roman"/>
          <w:sz w:val="20"/>
        </w:rPr>
        <w:t xml:space="preserve">(ii) No Hedging Agreement shall be deemed to be a “Note Document” for purposes of this </w:t>
      </w:r>
      <w:r>
        <w:rPr>
          <w:rFonts w:ascii="Times New Roman" w:hAnsi="Times New Roman"/>
          <w:sz w:val="20"/>
          <w:u w:val="single"/>
        </w:rPr>
        <w:t>Section 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use, administration, adoption or implementation of a Benchmark Replacement, the Issuer or its designee (with approval of the Controlling Party) will have the right to make Conforming Changes from time to time and, notwithstanding anything to the contrary herein or in any other Note Document, any amendments implementing such Conforming Changes will become effective without any further action or consent of any other party to this Indenture or any other Note Document; </w:t>
      </w:r>
      <w:r>
        <w:rPr>
          <w:rFonts w:ascii="Times New Roman" w:hAnsi="Times New Roman"/>
          <w:i/>
          <w:sz w:val="20"/>
        </w:rPr>
        <w:t>provided, however,</w:t>
      </w:r>
      <w:r>
        <w:rPr>
          <w:rFonts w:ascii="Times New Roman" w:hAnsi="Times New Roman"/>
          <w:sz w:val="20"/>
        </w:rPr>
        <w:t xml:space="preserve"> that no such changes may adversely affect the Trustee or the Calculation Agent without their prior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Issuer or its designee will promptly notify the Calculation Agent, the Trustee and the Holders of (i) the implementation of any Benchmark Replacement and (ii) the effectiveness of any Conforming Changes in connection with the use, administration, adoption or implementation of a Benchmark Replacement. The Issuer or its designee will notify the Calculation Agent, the Trustee and the Holders of (A) the removal or reinstatement of any tenor of a Benchmark pursuant to </w:t>
      </w:r>
      <w:r>
        <w:rPr>
          <w:rFonts w:ascii="Times New Roman" w:hAnsi="Times New Roman"/>
          <w:sz w:val="20"/>
          <w:u w:val="single"/>
        </w:rPr>
        <w:t>Section 2.17(d)</w:t>
      </w:r>
      <w:r>
        <w:rPr>
          <w:rFonts w:ascii="Times New Roman" w:hAnsi="Times New Roman"/>
          <w:sz w:val="20"/>
        </w:rPr>
        <w:t xml:space="preserve"> and (B) the commencement of any Benchmark Unavailability Period. Any determination, decision or election that may be made by the Issuer or its designee (with approval of the Controlling Party) or, if applicable, any Holder (or group of Holders) pursuant to this </w:t>
      </w:r>
      <w:r>
        <w:rPr>
          <w:rFonts w:ascii="Times New Roman" w:hAnsi="Times New Roman"/>
          <w:sz w:val="20"/>
          <w:u w:val="single"/>
        </w:rPr>
        <w:t>Section 2.17</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Indenture or any other Note Document, except, in each case, as expressly required pursuant to this </w:t>
      </w:r>
      <w:r>
        <w:rPr>
          <w:rFonts w:ascii="Times New Roman" w:hAnsi="Times New Roman"/>
          <w:sz w:val="20"/>
          <w:u w:val="single"/>
        </w:rPr>
        <w:t>Section 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Note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Issuer or its designee in its reasonable discretion or (B) the regulatory supervisor for the administrator of such Benchmark has provided a public statement or publication of information announcing that any tenor for such Benchmark is not or will not be representative, then the Issuer or its designee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hAnsi="Times New Roman"/>
          <w:sz w:val="20"/>
          <w:u w:val="single"/>
        </w:rPr>
        <w:t>clause (i)</w:t>
      </w:r>
      <w:r>
        <w:rPr>
          <w:rFonts w:ascii="Times New Roman" w:hAnsi="Times New Roman"/>
          <w:sz w:val="20"/>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Issuer or its designee (with approval of the Controlling Party) may modify the definition of “Interest Period” (or any similar or analogous definition)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commencement of a Benchmark Unavailability Period, the Issuer may revoke any pending request for the issuance of a SOFR Note of, conversion to or continuation of SOFR Notes to be made, converted or continued during any Benchmark Unavailability Period and, failing that, the Issuer will be deemed to have converted any such request into a request for the issuance of a Note of or conversion to ABR Notes.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AND PREPAYMENT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Notices to Trustee</w:t>
      </w:r>
      <w:r>
        <w:rPr>
          <w:rFonts w:ascii="Times New Roman" w:hAnsi="Times New Roman"/>
          <w:sz w:val="20"/>
        </w:rPr>
        <w:t xml:space="preserve">. If the Issuer elects to redeem Notes pursuant to the optional redemption provisions of </w:t>
      </w:r>
      <w:r>
        <w:rPr>
          <w:rFonts w:ascii="Times New Roman" w:hAnsi="Times New Roman"/>
          <w:sz w:val="20"/>
          <w:u w:val="single"/>
        </w:rPr>
        <w:t>Section 3.07</w:t>
      </w:r>
      <w:r>
        <w:rPr>
          <w:rFonts w:ascii="Times New Roman" w:hAnsi="Times New Roman"/>
          <w:sz w:val="20"/>
        </w:rPr>
        <w:t xml:space="preserve">, it shall furnish to the Trustee, at least three Business Days (or such shorter period as is acceptable to the Trustee) before sending a notice of such redemption to the Holders, a notice setting forth the (a) section of this Indenture pursuant to which the redemption shall occur, (b) redemption date and (c) principal amount of Notes to be redeemed. Any such notice to the Trustee may be cancelled at any time prior to notice of such redemption being sent to any Holder and shall thereby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Selection of Notes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less than all of the Notes are to be redeemed at any time, the Trustee shall select the Notes to be redeemed among the Holders on a pro rata basis (except that any Notes represented by a Global Note will be redeemed by such method as the Depositary may require) unless otherwise required by law or any applicable depositary or stock exchange requirements;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Notes of $1.00 in original principal amount or less shall be selected for redemption in part. </w:t>
      </w:r>
    </w:p>
    <w:p>
      <w:pPr>
        <w:pStyle w:val="TextBody"/>
        <w:bidi w:val="0"/>
        <w:spacing w:before="240" w:after="0"/>
        <w:jc w:val="left"/>
        <w:rPr>
          <w:rFonts w:ascii="Times New Roman" w:hAnsi="Times New Roman"/>
          <w:sz w:val="20"/>
        </w:rPr>
      </w:pPr>
      <w:r>
        <w:rPr>
          <w:rFonts w:ascii="Times New Roman" w:hAnsi="Times New Roman"/>
          <w:sz w:val="20"/>
        </w:rPr>
        <w:t xml:space="preserve">(b) On and after the redemption date, unless the Issuer defaults in the payment of the redemption price, interest will cease to accrue on Notes or portions of them called for redemption so long as the Issuer has deposited with the Paying Agent funds in satisfaction of the applicable redemption price pursuant to this Indenture (including accrued and unpaid interest on the Notes to be redeemed). The Trustee shall promptly notify the Issuer in writing of the Notes selected for redemption. The Trustee may select for redemption portions (equal to $1.00 or any integral multiples of $1.00 thereof) of the principal of the Notes that have minimum denominations larger than $1.00.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Notice of 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shall deliver or cause to be delivered in accordance with </w:t>
      </w:r>
      <w:r>
        <w:rPr>
          <w:rFonts w:ascii="Times New Roman" w:hAnsi="Times New Roman"/>
          <w:sz w:val="20"/>
          <w:u w:val="single"/>
        </w:rPr>
        <w:t>Section 13.02</w:t>
      </w:r>
      <w:r>
        <w:rPr>
          <w:rFonts w:ascii="Times New Roman" w:hAnsi="Times New Roman"/>
          <w:sz w:val="20"/>
        </w:rPr>
        <w:t xml:space="preserve">, a notice of optional redemption to each Holder whose Notes are to be redeemed (with a copy to the Trustee), at least 10 days but not more than 60 days before a redemption date (except that notices may be delivered more than 60 days before a redemption date if the notice is issued in connection with a transaction effected pursuant to </w:t>
      </w:r>
      <w:r>
        <w:rPr>
          <w:rFonts w:ascii="Times New Roman" w:hAnsi="Times New Roman"/>
          <w:sz w:val="20"/>
          <w:u w:val="single"/>
        </w:rPr>
        <w:t>Article X</w:t>
      </w:r>
      <w:r>
        <w:rPr>
          <w:rFonts w:ascii="Times New Roman" w:hAnsi="Times New Roman"/>
          <w:sz w:val="20"/>
        </w:rPr>
        <w:t xml:space="preserve">). Any notice of redemption made in connection with a related transaction or event (including, without limitation, a Change of Control, Asset Sale, Debt Issuance or other transaction) may, at the Issuer’s discretion, be given prior to the completion or the occurrence thereof, and any such redemption or notice may, at the Issuer’s discretion, be subject to one or more conditions precedent, including, but not limited to, the completion or occurrence of the related transaction or event, as the case may be. In addition, if such redemption is subject to satisfaction of one or more conditions precedent, such notice will describe each such condition, and, if applicable, will state that, in the Issuer’s discretion, the redemption date may be delayed until such time (including more than 60 days after the date the notice of redemption was mailed or delivered, including by electronic transmission) as any or all such conditions are satisfied (or waived by the Issuer in its sole discretion), or that such redemption may not occur and such notice may be rescinded in the event that any or all such conditions are not satisfied (or waived by the Issuer in its sole discretion) by the redemption date, or by the redemption date as so delayed, or that such notice may be rescinded at any time in the Issuer’s discretion if as determined in good faith by the Issuer, any or all of such conditions will not be satisfied. The Issuer will provide the Trustee with written notice of the satisfaction or waiver of such conditions precedent, the delay of such redemption or the rescission of such notice of redemption in the same manner that the related notice of redemption was given to the Trustee,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request of the Issuer, the Trustee will send a copy of such notice to the Trustee to the Holders in the same manner that the related notice of redemption was given to such Holders. In addition, the Issuer may provide in such notice that payment of the redemption price and performance of the Issuer’s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(b) The notice shall identify the Notes to be redeemed (including “</w:t>
      </w:r>
      <w:r>
        <w:rPr>
          <w:rFonts w:ascii="Times New Roman" w:hAnsi="Times New Roman"/>
          <w:b/>
          <w:sz w:val="20"/>
        </w:rPr>
        <w:t>CUSIP</w:t>
      </w:r>
      <w:r>
        <w:rPr>
          <w:rFonts w:ascii="Times New Roman" w:hAnsi="Times New Roman"/>
          <w:sz w:val="20"/>
        </w:rPr>
        <w:t>” numbers and corresponding “</w:t>
      </w:r>
      <w:r>
        <w:rPr>
          <w:rFonts w:ascii="Times New Roman" w:hAnsi="Times New Roman"/>
          <w:b/>
          <w:sz w:val="20"/>
        </w:rPr>
        <w:t>ISINs</w:t>
      </w:r>
      <w:r>
        <w:rPr>
          <w:rFonts w:ascii="Times New Roman" w:hAnsi="Times New Roman"/>
          <w:sz w:val="20"/>
        </w:rPr>
        <w:t xml:space="preserve">”, if applicable) and shall state: </w:t>
      </w:r>
    </w:p>
    <w:p>
      <w:pPr>
        <w:pStyle w:val="TextBody"/>
        <w:bidi w:val="0"/>
        <w:spacing w:before="240" w:after="0"/>
        <w:jc w:val="left"/>
        <w:rPr>
          <w:rFonts w:ascii="Times New Roman" w:hAnsi="Times New Roman"/>
          <w:sz w:val="20"/>
        </w:rPr>
      </w:pPr>
      <w:r>
        <w:rPr>
          <w:rFonts w:ascii="Times New Roman" w:hAnsi="Times New Roman"/>
          <w:sz w:val="20"/>
        </w:rPr>
        <w:t xml:space="preserve">(i)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(ii) the redemption price (or the method by which it is to be determined); </w:t>
      </w:r>
    </w:p>
    <w:p>
      <w:pPr>
        <w:pStyle w:val="TextBody"/>
        <w:bidi w:val="0"/>
        <w:spacing w:before="240" w:after="0"/>
        <w:jc w:val="left"/>
        <w:rPr>
          <w:rFonts w:ascii="Times New Roman" w:hAnsi="Times New Roman"/>
          <w:sz w:val="20"/>
        </w:rPr>
      </w:pPr>
      <w:r>
        <w:rPr>
          <w:rFonts w:ascii="Times New Roman" w:hAnsi="Times New Roman"/>
          <w:sz w:val="20"/>
        </w:rPr>
        <w:t xml:space="preserve">(iii) 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 (or appropriate adjustments to the amount and beneficial interests in a Global Note will be made,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(iv) the name and address of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(v) that Notes called for redemption must be surrendered to the Paying Agent to collect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(vi) that, unless the Issuer defaults in making such redemption payment, interest, if any, on Notes called for redemption ceases to accrue on and after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(vii) the paragraph of the Notes and/or Section of this Indenture pursuant to which the Notes called for redemption are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(viii) that no representation is made as to the correctness or accuracy of the CUSIP number, if any, listed in such notice or printed on the Notes; and </w:t>
      </w:r>
    </w:p>
    <w:p>
      <w:pPr>
        <w:pStyle w:val="TextBody"/>
        <w:bidi w:val="0"/>
        <w:spacing w:before="240" w:after="0"/>
        <w:jc w:val="left"/>
        <w:rPr>
          <w:rFonts w:ascii="Times New Roman" w:hAnsi="Times New Roman"/>
          <w:sz w:val="20"/>
        </w:rPr>
      </w:pPr>
      <w:r>
        <w:rPr>
          <w:rFonts w:ascii="Times New Roman" w:hAnsi="Times New Roman"/>
          <w:sz w:val="20"/>
        </w:rPr>
        <w:t xml:space="preserve">(ix) any conditions precedent to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At the Issuer’s written request, the Trustee shall give the notice of redemption in the Issuer’s name and at the Issuer’s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Issuer shall have delivered to the Trustee, at least three Business Days prior to the date of the giving of the notice of redemption (or such shorter period as is acceptable to the Trustee), an Officer’s Certificate requesting that the Trustee give such notice and setting forth the information to be stated in the notice as provided in the preceding paragraph. Any such request to the Trustee may be revoked or cancelled at any time prior to notice of such redemption being sent to any Holder and shall thereby be void and of no effect. The notice sent in the manner herein provided shall be deemed to have been duly given whether or not the Holder receives such notice. In any case, failure to give such notice or any defect in the notice to the Holder of any Note shall not affect the validity of the proceeding for the redemption of any other Note. The notice of redemption issued pursuant to </w:t>
      </w:r>
      <w:r>
        <w:rPr>
          <w:rFonts w:ascii="Times New Roman" w:hAnsi="Times New Roman"/>
          <w:sz w:val="20"/>
          <w:u w:val="single"/>
        </w:rPr>
        <w:t>Section 3.07(a)</w:t>
      </w:r>
      <w:r>
        <w:rPr>
          <w:rFonts w:ascii="Times New Roman" w:hAnsi="Times New Roman"/>
          <w:sz w:val="20"/>
        </w:rPr>
        <w:t xml:space="preserve"> need not set forth the Make-Whole Amount but only the manner of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Effect of Notice of Redemption</w:t>
      </w:r>
      <w:r>
        <w:rPr>
          <w:rFonts w:ascii="Times New Roman" w:hAnsi="Times New Roman"/>
          <w:sz w:val="20"/>
        </w:rPr>
        <w:t xml:space="preserve">. Once notice of redemption is delivered in accordance with </w:t>
      </w:r>
      <w:r>
        <w:rPr>
          <w:rFonts w:ascii="Times New Roman" w:hAnsi="Times New Roman"/>
          <w:sz w:val="20"/>
          <w:u w:val="single"/>
        </w:rPr>
        <w:t>Section 3.03</w:t>
      </w:r>
      <w:r>
        <w:rPr>
          <w:rFonts w:ascii="Times New Roman" w:hAnsi="Times New Roman"/>
          <w:sz w:val="20"/>
        </w:rPr>
        <w:t xml:space="preserve">, Notes called for redemption become due and payable on the redemption date at the applicable redemption price, subject to satisfaction of any conditions specified in the notice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before 12:00 p.m. (New York City time) on the redemption date, the Issuer shall deposit with the Trustee or with the Paying Agent (or, if the Issuer or a Subsidiary of the Issuer is the Paying Agent, shall segregate and hold in trust) money sufficient to pay the redemption price on all Notes to be redeemed on that date. The Trustee or the Paying Agent shall promptly return to the Issuer any money deposited with the Trustee or the Paying Agent by the Issuer in excess of the amounts necessary to pay the redemption price of all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(b) If Notes called for redemption or tendered in connection with a Net Cash Proceeds Offer or Change of Control Offer are paid or if the Issuer has deposited with the Trustee or Paying Agent money sufficient to pay the redemption or purchase price of, and unpaid and accrued interest, if any, on, all Notes to be redeemed or purchased, on and after the redemption or purchase date, interest, if any, shall cease to accrue on the Notes or the portions of Notes called for redemption or tendered and not withdrawn in a Net Cash Proceeds Offer or Change of Control Offer (regardless of whether certificates for such securities are actually surrendered). If a Note is redeemed or purchased on or after an interest record date but on or prior to the related Interest Payment Date, then any accrued and unpaid interest, if any, shall be paid to the Person in whose name such Note was registered at the close of business on such record date. If any Note called for redemption shall not be so paid upon surrender for redemption because of the failure of the Issuer to comply with the preceding paragraph, interest, if any, shall be paid on the unpaid principal from the redemption or purchase date until such principal is paid, and to the extent lawful on any interest, if any, not paid on such unpaid principal, in each case, at the rate provided in the Notes and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Notes Redeemed in Part</w:t>
      </w:r>
      <w:r>
        <w:rPr>
          <w:rFonts w:ascii="Times New Roman" w:hAnsi="Times New Roman"/>
          <w:sz w:val="20"/>
        </w:rPr>
        <w:t xml:space="preserve">. Upon surrender and cancellation of a Note that is redeemed in part, the Issuer shall issue and, upon receipt of an Authentication Order from the Issuer, the Trustee shall authenticate for the Holder at the expense of the Issuer a new Note equal in principal amount to the unredeemed portion of the Note surrendered and canceled; </w:t>
      </w:r>
      <w:r>
        <w:rPr>
          <w:rFonts w:ascii="Times New Roman" w:hAnsi="Times New Roman"/>
          <w:i/>
          <w:sz w:val="20"/>
        </w:rPr>
        <w:t xml:space="preserve">provided </w:t>
      </w:r>
      <w:r>
        <w:rPr>
          <w:rFonts w:ascii="Times New Roman" w:hAnsi="Times New Roman"/>
          <w:sz w:val="20"/>
        </w:rPr>
        <w:t xml:space="preserve">that each such new Note will be in a minimum denomination of $1.00 or integral multiples of $1.00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Optional Redemption</w:t>
      </w:r>
      <w:r>
        <w:rPr>
          <w:rFonts w:ascii="Times New Roman" w:hAnsi="Times New Roman"/>
          <w:sz w:val="20"/>
        </w:rPr>
        <w:t xml:space="preserve">. The Issuer shall have the right at any time and from time to time to redeem the Notes, in whole or in part, upon notice as provided in </w:t>
      </w:r>
      <w:r>
        <w:rPr>
          <w:rFonts w:ascii="Times New Roman" w:hAnsi="Times New Roman"/>
          <w:sz w:val="20"/>
          <w:u w:val="single"/>
        </w:rPr>
        <w:t>Section 3.03</w:t>
      </w:r>
      <w:r>
        <w:rPr>
          <w:rFonts w:ascii="Times New Roman" w:hAnsi="Times New Roman"/>
          <w:sz w:val="20"/>
        </w:rPr>
        <w:t xml:space="preserve">, as follows: </w:t>
      </w:r>
    </w:p>
    <w:p>
      <w:pPr>
        <w:pStyle w:val="TextBody"/>
        <w:bidi w:val="0"/>
        <w:spacing w:before="240" w:after="0"/>
        <w:jc w:val="left"/>
        <w:rPr>
          <w:rFonts w:ascii="Times New Roman" w:hAnsi="Times New Roman"/>
          <w:sz w:val="20"/>
        </w:rPr>
      </w:pPr>
      <w:r>
        <w:rPr>
          <w:rFonts w:ascii="Times New Roman" w:hAnsi="Times New Roman"/>
          <w:sz w:val="20"/>
        </w:rPr>
        <w:t>(a) on or prior to [__], 20281 (the “</w:t>
      </w:r>
      <w:r>
        <w:rPr>
          <w:rFonts w:ascii="Times New Roman" w:hAnsi="Times New Roman"/>
          <w:b/>
          <w:sz w:val="20"/>
        </w:rPr>
        <w:t>Make-Whole Expiry Date</w:t>
      </w:r>
      <w:r>
        <w:rPr>
          <w:rFonts w:ascii="Times New Roman" w:hAnsi="Times New Roman"/>
          <w:sz w:val="20"/>
        </w:rPr>
        <w:t xml:space="preserve">”), at a redemption price equal to (i) the Make-Whole Amount as of the date of such redemption </w:t>
      </w:r>
      <w:r>
        <w:rPr>
          <w:rFonts w:ascii="Times New Roman" w:hAnsi="Times New Roman"/>
          <w:i/>
          <w:sz w:val="20"/>
        </w:rPr>
        <w:t>plus</w:t>
      </w:r>
      <w:r>
        <w:rPr>
          <w:rFonts w:ascii="Times New Roman" w:hAnsi="Times New Roman"/>
          <w:sz w:val="20"/>
        </w:rPr>
        <w:t xml:space="preserve"> (ii) any accrued and unpaid interest to but excluding the date of such redemption </w:t>
      </w:r>
      <w:r>
        <w:rPr>
          <w:rFonts w:ascii="Times New Roman" w:hAnsi="Times New Roman"/>
          <w:i/>
          <w:sz w:val="20"/>
        </w:rPr>
        <w:t>plus</w:t>
      </w:r>
      <w:r>
        <w:rPr>
          <w:rFonts w:ascii="Times New Roman" w:hAnsi="Times New Roman"/>
          <w:sz w:val="20"/>
        </w:rPr>
        <w:t xml:space="preserve"> (iii) 101.0% of the principal amount of the Notes to be redeemed, which would have been owed on such redeemed amounts if such redemption occurred on the day after the Make-Whole Expiry Date; and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Note to Draft</w:t>
            </w:r>
            <w:r>
              <w:rPr>
                <w:rFonts w:ascii="Times New Roman" w:hAnsi="Times New Roman"/>
                <w:sz w:val="20"/>
              </w:rPr>
              <w:t xml:space="preserve">: To be two years from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at any time after the Make-Whole Expiry Date, at the redemption prices (expressed as percentages of the principal amount of the Notes to be redeemed) set forth below, if redeemed during the 12-month period beginning March 12 of the years indicated below (the amount payable pursuant to this clause (b), as applicable, the “</w:t>
      </w:r>
      <w:r>
        <w:rPr>
          <w:rFonts w:ascii="Times New Roman" w:hAnsi="Times New Roman"/>
          <w:b/>
          <w:sz w:val="20"/>
        </w:rPr>
        <w:t>Call Premium</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any accrued and unpaid interest to but excluding the date of such redemption: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9"/>
        <w:gridCol w:w="740"/>
        <w:gridCol w:w="179"/>
        <w:gridCol w:w="1693"/>
        <w:gridCol w:w="278"/>
      </w:tblGrid>
      <w:tr>
        <w:trPr/>
        <w:tc>
          <w:tcPr>
            <w:tcW w:w="4049" w:type="dxa"/>
            <w:tcBorders/>
            <w:vAlign w:val="center"/>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0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w:t>
            </w:r>
          </w:p>
        </w:tc>
        <w:tc>
          <w:tcPr>
            <w:tcW w:w="740"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Redemption Price</w:t>
            </w:r>
          </w:p>
        </w:tc>
        <w:tc>
          <w:tcPr>
            <w:tcW w:w="278" w:type="dxa"/>
            <w:tcBorders/>
            <w:vAlign w:val="bottom"/>
          </w:tcPr>
          <w:p>
            <w:pPr>
              <w:pStyle w:val="TableContents"/>
              <w:bidi w:val="0"/>
              <w:spacing w:before="0" w:after="283"/>
              <w:jc w:val="left"/>
              <w:rPr/>
            </w:pPr>
            <w:r>
              <w:rPr/>
              <w:t> </w:t>
            </w:r>
          </w:p>
        </w:tc>
      </w:tr>
      <w:tr>
        <w:trPr/>
        <w:tc>
          <w:tcPr>
            <w:tcW w:w="4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74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93" w:type="dxa"/>
            <w:tcBorders/>
            <w:shd w:fill="CCEEFF" w:val="clear"/>
            <w:vAlign w:val="bottom"/>
          </w:tcPr>
          <w:p>
            <w:pPr>
              <w:pStyle w:val="TableContents"/>
              <w:bidi w:val="0"/>
              <w:spacing w:before="0" w:after="283"/>
              <w:jc w:val="right"/>
              <w:rPr/>
            </w:pPr>
            <w:r>
              <w:rPr/>
              <w:t>101.0</w:t>
            </w:r>
          </w:p>
        </w:tc>
        <w:tc>
          <w:tcPr>
            <w:tcW w:w="278" w:type="dxa"/>
            <w:tcBorders/>
            <w:shd w:fill="CCEEFF" w:val="clear"/>
            <w:vAlign w:val="bottom"/>
          </w:tcPr>
          <w:p>
            <w:pPr>
              <w:pStyle w:val="TableContents"/>
              <w:bidi w:val="0"/>
              <w:spacing w:before="0" w:after="283"/>
              <w:jc w:val="left"/>
              <w:rPr/>
            </w:pPr>
            <w:r>
              <w:rPr/>
              <w:t>% </w:t>
            </w:r>
          </w:p>
        </w:tc>
      </w:tr>
      <w:tr>
        <w:trPr/>
        <w:tc>
          <w:tcPr>
            <w:tcW w:w="4049"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74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93" w:type="dxa"/>
            <w:tcBorders/>
            <w:vAlign w:val="bottom"/>
          </w:tcPr>
          <w:p>
            <w:pPr>
              <w:pStyle w:val="TableContents"/>
              <w:bidi w:val="0"/>
              <w:spacing w:before="0" w:after="283"/>
              <w:jc w:val="right"/>
              <w:rPr/>
            </w:pPr>
            <w:r>
              <w:rPr/>
              <w:t>100.0</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anything to the contrary herein, no Make-Whole Amount pursuant to </w:t>
      </w:r>
      <w:r>
        <w:rPr>
          <w:rFonts w:ascii="Times New Roman" w:hAnsi="Times New Roman"/>
          <w:sz w:val="20"/>
          <w:u w:val="single"/>
        </w:rPr>
        <w:t>Section 3.07(a)</w:t>
      </w:r>
      <w:r>
        <w:rPr>
          <w:rFonts w:ascii="Times New Roman" w:hAnsi="Times New Roman"/>
          <w:sz w:val="20"/>
        </w:rPr>
        <w:t xml:space="preserve"> nor any Call Premium pursuant to </w:t>
      </w:r>
      <w:r>
        <w:rPr>
          <w:rFonts w:ascii="Times New Roman" w:hAnsi="Times New Roman"/>
          <w:sz w:val="20"/>
          <w:u w:val="single"/>
        </w:rPr>
        <w:t>Section 3.07(b)</w:t>
      </w:r>
      <w:r>
        <w:rPr>
          <w:rFonts w:ascii="Times New Roman" w:hAnsi="Times New Roman"/>
          <w:sz w:val="20"/>
        </w:rPr>
        <w:t xml:space="preserve"> shall be due and payable with respect to any optional redemption of the Notes made pursuant to, and in accordance with, Section 14 of the Rights Offering Backstop Agreement, and such optional redemption shall be made at a redemption price equal to 100% of the principal amount of such Notes, plus accrued and unpaid interest thereon to, but excluding, the date of such redemption. The Issuer shall notify the Trustee if any redemption is pursuant to, and in accordance with, Section 14 of the Rights Offering Backstop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each redemption or distribution in respect of the principal amount of the Notes after acceleration thereof under Section 8.01 hereof (including automatically pursuant to Section 8.01 hereof), shall be accompanied by, and there shall become due and payable automatically upon acceleration, a payment premium payable in cash on the principal amount so redeemed or distributed or on the principal amount that has become or is declared accelerated, in an amount equal to the redemption price that would have applied for an optional redemption of such Notes at such time pursuant to this Section 3.07, calculated on the aggregate principal amount of the Notes so redeemed, distributed or accelerated, together with all accrued and unpaid interest on such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Net Cash Proceeds Offers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Asset Sales</w:t>
      </w:r>
      <w:r>
        <w:rPr>
          <w:rFonts w:ascii="Times New Roman" w:hAnsi="Times New Roman"/>
          <w:sz w:val="20"/>
        </w:rPr>
        <w:t xml:space="preserve">. Subject to the terms of the ABL/Note Intercreditor Agreement, no later than ten (10) Business Days following the receipt of any Net Cash Proceeds of any Asset Sale by any Group Member, the Issuer shall make an offer to repurchase Notes in accordance with </w:t>
      </w:r>
      <w:r>
        <w:rPr>
          <w:rFonts w:ascii="Times New Roman" w:hAnsi="Times New Roman"/>
          <w:sz w:val="20"/>
          <w:u w:val="single"/>
        </w:rPr>
        <w:t>Section 3.08(e)</w:t>
      </w:r>
      <w:r>
        <w:rPr>
          <w:rFonts w:ascii="Times New Roman" w:hAnsi="Times New Roman"/>
          <w:sz w:val="20"/>
        </w:rPr>
        <w:t xml:space="preserve"> and </w:t>
      </w:r>
      <w:r>
        <w:rPr>
          <w:rFonts w:ascii="Times New Roman" w:hAnsi="Times New Roman"/>
          <w:sz w:val="20"/>
          <w:u w:val="single"/>
        </w:rPr>
        <w:t>Section 3.11</w:t>
      </w:r>
      <w:r>
        <w:rPr>
          <w:rFonts w:ascii="Times New Roman" w:hAnsi="Times New Roman"/>
          <w:sz w:val="20"/>
        </w:rPr>
        <w:t xml:space="preserve"> in an aggregate amount equal to one hundred percent (100%) of such Net Cash Proceeds; </w:t>
      </w:r>
      <w:r>
        <w:rPr>
          <w:rFonts w:ascii="Times New Roman" w:hAnsi="Times New Roman"/>
          <w:i/>
          <w:sz w:val="20"/>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(i) no such offer to repurchase shall be required under this </w:t>
      </w:r>
      <w:r>
        <w:rPr>
          <w:rFonts w:ascii="Times New Roman" w:hAnsi="Times New Roman"/>
          <w:sz w:val="20"/>
          <w:u w:val="single"/>
        </w:rPr>
        <w:t>clause (i)</w:t>
      </w:r>
      <w:r>
        <w:rPr>
          <w:rFonts w:ascii="Times New Roman" w:hAnsi="Times New Roman"/>
          <w:sz w:val="20"/>
        </w:rPr>
        <w:t xml:space="preserve"> (A) with respect to any disposition of property which constitutes a Casualty Event or (B) to the extent the Net Cash Proceeds of any Asset Sales do not result in more than $5,000,000 in any twelve (12) month period (the “</w:t>
      </w:r>
      <w:r>
        <w:rPr>
          <w:rFonts w:ascii="Times New Roman" w:hAnsi="Times New Roman"/>
          <w:b/>
          <w:sz w:val="20"/>
        </w:rPr>
        <w:t>Asset Sale Threshold</w:t>
      </w:r>
      <w:r>
        <w:rPr>
          <w:rFonts w:ascii="Times New Roman" w:hAnsi="Times New Roman"/>
          <w:sz w:val="20"/>
        </w:rPr>
        <w:t>” and the Net Cash Proceeds in excess of the Asset Sale Threshold, the “</w:t>
      </w:r>
      <w:r>
        <w:rPr>
          <w:rFonts w:ascii="Times New Roman" w:hAnsi="Times New Roman"/>
          <w:b/>
          <w:sz w:val="20"/>
        </w:rPr>
        <w:t>Excess Net Cash Proceeds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such proceeds with respect to any such Asset Sale shall not be required to be so applied on such date to the extent that the Issuer shall have notified the Trustee on or prior to such date stating that such Excess Net Cash Proceeds are expected to be reinvested in assets used or useful in the business of any Group Member (including pursuant to a Permitted Acquisition, Investment or Capital Expenditure) or to be contractually committed to be so reinvested, within twelve (12) months (or within eighteen (18) months following receipt thereof if a contractual commitment to reinvest is entered into within twelve (12) months following receipt thereof) following the date of such Asset Sale; and </w:t>
      </w:r>
    </w:p>
    <w:p>
      <w:pPr>
        <w:pStyle w:val="TextBody"/>
        <w:bidi w:val="0"/>
        <w:spacing w:before="240" w:after="0"/>
        <w:jc w:val="left"/>
        <w:rPr>
          <w:rFonts w:ascii="Times New Roman" w:hAnsi="Times New Roman"/>
          <w:sz w:val="20"/>
        </w:rPr>
      </w:pPr>
      <w:r>
        <w:rPr>
          <w:rFonts w:ascii="Times New Roman" w:hAnsi="Times New Roman"/>
          <w:sz w:val="20"/>
        </w:rPr>
        <w:t xml:space="preserve">(iii) if all or any portion of such Excess Net Cash Proceeds that are the subject of </w:t>
      </w:r>
      <w:r>
        <w:rPr>
          <w:rFonts w:ascii="Times New Roman" w:hAnsi="Times New Roman"/>
          <w:sz w:val="20"/>
          <w:u w:val="single"/>
        </w:rPr>
        <w:t>clause (ii)</w:t>
      </w:r>
      <w:r>
        <w:rPr>
          <w:rFonts w:ascii="Times New Roman" w:hAnsi="Times New Roman"/>
          <w:sz w:val="20"/>
        </w:rPr>
        <w:t xml:space="preserve"> immediately above is neither reinvested nor contractually committed to be so reinvested within such twelve (12) month period (and actually reinvested within eighteen (18) months of the receipt of the Net Cash Proceeds related thereto), the Issuer shall make an offer to repurchase Notes with such unused portion within five (5) Business Days after the last day of such period as provided in this </w:t>
      </w:r>
      <w:r>
        <w:rPr>
          <w:rFonts w:ascii="Times New Roman" w:hAnsi="Times New Roman"/>
          <w:sz w:val="20"/>
          <w:u w:val="single"/>
        </w:rPr>
        <w:t>Section 3.08(a)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Debt Issuance</w:t>
      </w:r>
      <w:r>
        <w:rPr>
          <w:rFonts w:ascii="Times New Roman" w:hAnsi="Times New Roman"/>
          <w:sz w:val="20"/>
        </w:rPr>
        <w:t xml:space="preserve">. Not later than one (1) Business Day following the receipt of any Net Cash Proceeds of any Debt Issuance by any Group Member, the Issuer shall make an offer to repurchase Notes in accordance with </w:t>
      </w:r>
      <w:r>
        <w:rPr>
          <w:rFonts w:ascii="Times New Roman" w:hAnsi="Times New Roman"/>
          <w:sz w:val="20"/>
          <w:u w:val="single"/>
        </w:rPr>
        <w:t>Section 3.08(e)</w:t>
      </w:r>
      <w:r>
        <w:rPr>
          <w:rFonts w:ascii="Times New Roman" w:hAnsi="Times New Roman"/>
          <w:sz w:val="20"/>
        </w:rPr>
        <w:t xml:space="preserve"> and </w:t>
      </w:r>
      <w:r>
        <w:rPr>
          <w:rFonts w:ascii="Times New Roman" w:hAnsi="Times New Roman"/>
          <w:sz w:val="20"/>
          <w:u w:val="single"/>
        </w:rPr>
        <w:t>Section 3.11</w:t>
      </w:r>
      <w:r>
        <w:rPr>
          <w:rFonts w:ascii="Times New Roman" w:hAnsi="Times New Roman"/>
          <w:sz w:val="20"/>
        </w:rPr>
        <w:t xml:space="preserve"> in an aggregate principal amount equal to one hundred percent (100%) of such Net Cash Proceeds.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Casualty Events</w:t>
      </w:r>
      <w:r>
        <w:rPr>
          <w:rFonts w:ascii="Times New Roman" w:hAnsi="Times New Roman"/>
          <w:sz w:val="20"/>
        </w:rPr>
        <w:t xml:space="preserve">. Subject to the terms of the ABL/Note Intercreditor Agreement, not later than five (5) Business Days following the receipt of any Net Cash Proceeds from a Casualty Event by any Group Member, the Issuer shall make an offer to repurchase Notes, in accordance with </w:t>
      </w:r>
      <w:r>
        <w:rPr>
          <w:rFonts w:ascii="Times New Roman" w:hAnsi="Times New Roman"/>
          <w:sz w:val="20"/>
          <w:u w:val="single"/>
        </w:rPr>
        <w:t>Section 3.08(e)</w:t>
      </w:r>
      <w:r>
        <w:rPr>
          <w:rFonts w:ascii="Times New Roman" w:hAnsi="Times New Roman"/>
          <w:sz w:val="20"/>
        </w:rPr>
        <w:t xml:space="preserve"> and </w:t>
      </w:r>
      <w:r>
        <w:rPr>
          <w:rFonts w:ascii="Times New Roman" w:hAnsi="Times New Roman"/>
          <w:sz w:val="20"/>
          <w:u w:val="single"/>
        </w:rPr>
        <w:t xml:space="preserve">Section 3.11 in </w:t>
      </w:r>
      <w:r>
        <w:rPr>
          <w:rFonts w:ascii="Times New Roman" w:hAnsi="Times New Roman"/>
          <w:sz w:val="20"/>
        </w:rPr>
        <w:t xml:space="preserve">an amount equal to one hundred percent (100%) of such Net Cash Proceeds; </w:t>
      </w:r>
      <w:r>
        <w:rPr>
          <w:rFonts w:ascii="Times New Roman" w:hAnsi="Times New Roman"/>
          <w:i/>
          <w:sz w:val="20"/>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(i) such Net Cash Proceeds shall not be required to be so applied on such date to the extent that (A) the Net Cash Proceeds of a Casualty Event do not exceed $5,000,000 in any twelve (12) month period (the “</w:t>
      </w:r>
      <w:r>
        <w:rPr>
          <w:rFonts w:ascii="Times New Roman" w:hAnsi="Times New Roman"/>
          <w:b/>
          <w:sz w:val="20"/>
        </w:rPr>
        <w:t>Casualty Event Threshold</w:t>
      </w:r>
      <w:r>
        <w:rPr>
          <w:rFonts w:ascii="Times New Roman" w:hAnsi="Times New Roman"/>
          <w:sz w:val="20"/>
        </w:rPr>
        <w:t xml:space="preserve">”), or (B) in the event that such Net Cash Proceeds exceed the Casualty Event Threshold, the Issuer shall have notified the Trustee on or prior to such date stating that such proceeds in excess of the Casualty Event Threshold are expected to be used to repair, replace or restore any Property in respect of which such Net Cash Proceeds were paid or to reinvest in other fixed or Capital Assets or assets that are otherwise used or useful in the business of the Group Members (including pursuant to a Permitted Acquisition, Investment or Capital Expenditure) or to be contractually committed to be so reinvested, in each case, no later than twelve (12) months (or within eighteen (18) months following receipt thereof if such contractual commitment to reinvest has been entered into within twelve (12) months following receipt thereof) following the date of receipt of such proceeds; and </w:t>
      </w:r>
    </w:p>
    <w:p>
      <w:pPr>
        <w:pStyle w:val="TextBody"/>
        <w:bidi w:val="0"/>
        <w:spacing w:before="240" w:after="0"/>
        <w:jc w:val="left"/>
        <w:rPr>
          <w:rFonts w:ascii="Times New Roman" w:hAnsi="Times New Roman"/>
          <w:sz w:val="20"/>
        </w:rPr>
      </w:pPr>
      <w:r>
        <w:rPr>
          <w:rFonts w:ascii="Times New Roman" w:hAnsi="Times New Roman"/>
          <w:sz w:val="20"/>
        </w:rPr>
        <w:t xml:space="preserve">(ii) if all or any portion of such Net Cash Proceeds is contractually committed within such twelve (12)-month period to be so reinvested within such eighteen (18) month period but is not actually reinvested within eighteen (18) months of the receipt of the Net Cash Proceeds related thereto, the Issuer shall make an offer to repurchase Notes with such unused portion within five (5) Business Days after the last day of such period as provided in this </w:t>
      </w:r>
      <w:r>
        <w:rPr>
          <w:rFonts w:ascii="Times New Roman" w:hAnsi="Times New Roman"/>
          <w:sz w:val="20"/>
          <w:u w:val="single"/>
        </w:rPr>
        <w:t>Section 3.08(c)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Excess Cash Flow</w:t>
      </w:r>
      <w:r>
        <w:rPr>
          <w:rFonts w:ascii="Times New Roman" w:hAnsi="Times New Roman"/>
          <w:sz w:val="20"/>
        </w:rPr>
        <w:t xml:space="preserve">. No later than five (5) Business Days after the date on which the financial statements with respect to each fiscal year of the Issuer, commencing with the fiscal year ended December 31, 2026, in which an Excess Cash Flow Period occurs are required to be delivered pursuant to </w:t>
      </w:r>
      <w:r>
        <w:rPr>
          <w:rFonts w:ascii="Times New Roman" w:hAnsi="Times New Roman"/>
          <w:sz w:val="20"/>
          <w:u w:val="single"/>
        </w:rPr>
        <w:t>Section 5.03(a)</w:t>
      </w:r>
      <w:r>
        <w:rPr>
          <w:rFonts w:ascii="Times New Roman" w:hAnsi="Times New Roman"/>
          <w:sz w:val="20"/>
        </w:rPr>
        <w:t xml:space="preserve"> (each such date, an “</w:t>
      </w:r>
      <w:r>
        <w:rPr>
          <w:rFonts w:ascii="Times New Roman" w:hAnsi="Times New Roman"/>
          <w:b/>
          <w:sz w:val="20"/>
        </w:rPr>
        <w:t>ECF Payment Date</w:t>
      </w:r>
      <w:r>
        <w:rPr>
          <w:rFonts w:ascii="Times New Roman" w:hAnsi="Times New Roman"/>
          <w:sz w:val="20"/>
        </w:rPr>
        <w:t xml:space="preserve">”), the Issuer shall, to the extent Excess Cash Flow for such Excess Cash Flow Period exceeds $1,000,000, make an offer to repurchase Notes, in accordance with </w:t>
      </w:r>
      <w:r>
        <w:rPr>
          <w:rFonts w:ascii="Times New Roman" w:hAnsi="Times New Roman"/>
          <w:sz w:val="20"/>
          <w:u w:val="single"/>
        </w:rPr>
        <w:t>Section 3.08(e)</w:t>
      </w:r>
      <w:r>
        <w:rPr>
          <w:rFonts w:ascii="Times New Roman" w:hAnsi="Times New Roman"/>
          <w:sz w:val="20"/>
        </w:rPr>
        <w:t xml:space="preserve"> and </w:t>
      </w:r>
      <w:r>
        <w:rPr>
          <w:rFonts w:ascii="Times New Roman" w:hAnsi="Times New Roman"/>
          <w:sz w:val="20"/>
          <w:u w:val="single"/>
        </w:rPr>
        <w:t>Section 3.11</w:t>
      </w:r>
      <w:r>
        <w:rPr>
          <w:rFonts w:ascii="Times New Roman" w:hAnsi="Times New Roman"/>
          <w:sz w:val="20"/>
        </w:rPr>
        <w:t xml:space="preserve"> in an aggregate amount equal to (i) the Applicable ECF Percentage of the amount equal to the Excess Cash Flow for the Excess Cash Flow Period then ended (for the avoidance of doubt, including the $1,000,000 floor above) </w:t>
      </w:r>
      <w:r>
        <w:rPr>
          <w:rFonts w:ascii="Times New Roman" w:hAnsi="Times New Roman"/>
          <w:i/>
          <w:sz w:val="20"/>
        </w:rPr>
        <w:t>minus</w:t>
      </w:r>
      <w:r>
        <w:rPr>
          <w:rFonts w:ascii="Times New Roman" w:hAnsi="Times New Roman"/>
          <w:sz w:val="20"/>
        </w:rPr>
        <w:t xml:space="preserve"> (ii) at the option of the Issuer, the aggregate principal amount of any Notes, Additional Notes, or Permitted Additional Debt, in each case secured on a </w:t>
      </w:r>
      <w:r>
        <w:rPr>
          <w:rFonts w:ascii="Times New Roman" w:hAnsi="Times New Roman"/>
          <w:i/>
          <w:sz w:val="20"/>
        </w:rPr>
        <w:t>pari passu</w:t>
      </w:r>
      <w:r>
        <w:rPr>
          <w:rFonts w:ascii="Times New Roman" w:hAnsi="Times New Roman"/>
          <w:sz w:val="20"/>
        </w:rPr>
        <w:t xml:space="preserve"> basis with the Obligations (or, in each case, any Notes Refinancing Indebtedness in respect thereof, to the extent secured on a </w:t>
      </w:r>
      <w:r>
        <w:rPr>
          <w:rFonts w:ascii="Times New Roman" w:hAnsi="Times New Roman"/>
          <w:i/>
          <w:sz w:val="20"/>
        </w:rPr>
        <w:t>pari passu</w:t>
      </w:r>
      <w:r>
        <w:rPr>
          <w:rFonts w:ascii="Times New Roman" w:hAnsi="Times New Roman"/>
          <w:sz w:val="20"/>
        </w:rPr>
        <w:t xml:space="preserve"> basis with the Obligations), in each case redeemed pursuant to </w:t>
      </w:r>
      <w:r>
        <w:rPr>
          <w:rFonts w:ascii="Times New Roman" w:hAnsi="Times New Roman"/>
          <w:sz w:val="20"/>
          <w:u w:val="single"/>
        </w:rPr>
        <w:t>Section 3.07</w:t>
      </w:r>
      <w:r>
        <w:rPr>
          <w:rFonts w:ascii="Times New Roman" w:hAnsi="Times New Roman"/>
          <w:sz w:val="20"/>
        </w:rPr>
        <w:t xml:space="preserve"> or pursuant to the corresponding provisions of the documentation governing any such Permitted Additional Debt or Notes Refinancing Indebtedness in respect thereof during the applicable Excess Cash Flow Period (or, at the option of the Issuer, and without duplication, after such Excess Cash Flow Period and prior to such subsequent ECF Payment Date) (and the Total Net Leverage Ratio shall be recalculated for purposes of determining the Applicable ECF Percentage to give pro forma effect to all such voluntary redemptions), and in the case of all such redemptions, to the extent that such redemptions were financed with sources other than the proceeds of long-term Indebtedness (other than revolving Indebtedness to the extent intended to be repaid from operating cash flow) of Issuer or its Restricted Subsidiaries; </w:t>
      </w:r>
      <w:r>
        <w:rPr>
          <w:rFonts w:ascii="Times New Roman" w:hAnsi="Times New Roman"/>
          <w:i/>
          <w:sz w:val="20"/>
        </w:rPr>
        <w:t>provided</w:t>
      </w:r>
      <w:r>
        <w:rPr>
          <w:rFonts w:ascii="Times New Roman" w:hAnsi="Times New Roman"/>
          <w:sz w:val="20"/>
        </w:rPr>
        <w:t xml:space="preserve">, that, any cash proceeds received by the Issuer from the Rights Offering in an aggregate principal amount up to the Excess Proceeds Reduction (as defined in the Backstop Offering Rights Agreement) and applied as an optional redemption in accordance with Section 3.07 shall be excluded from the calculation of Excess Cash Flow for purposes of this </w:t>
      </w:r>
      <w:r>
        <w:rPr>
          <w:rFonts w:ascii="Times New Roman" w:hAnsi="Times New Roman"/>
          <w:sz w:val="20"/>
          <w:u w:val="single"/>
        </w:rPr>
        <w:t>Section 3.08(d)</w:t>
      </w:r>
      <w:r>
        <w:rPr>
          <w:rFonts w:ascii="Times New Roman" w:hAnsi="Times New Roman"/>
          <w:sz w:val="20"/>
        </w:rPr>
        <w:t xml:space="preserve"> (such payment, the “</w:t>
      </w:r>
      <w:r>
        <w:rPr>
          <w:rFonts w:ascii="Times New Roman" w:hAnsi="Times New Roman"/>
          <w:b/>
          <w:sz w:val="20"/>
        </w:rPr>
        <w:t>ECF Payment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Net Cash Proceeds Offer.</w:t>
      </w:r>
      <w:r>
        <w:rPr>
          <w:rFonts w:ascii="Times New Roman" w:hAnsi="Times New Roman"/>
          <w:sz w:val="20"/>
        </w:rPr>
        <w:t xml:space="preserve"> Upon the occurrence of an event requiring that the Issuer make an offer to repurchase Notes pursuant to </w:t>
      </w:r>
      <w:r>
        <w:rPr>
          <w:rFonts w:ascii="Times New Roman" w:hAnsi="Times New Roman"/>
          <w:sz w:val="20"/>
          <w:u w:val="single"/>
        </w:rPr>
        <w:t>Section 3.08(a)</w:t>
      </w:r>
      <w:r>
        <w:rPr>
          <w:rFonts w:ascii="Times New Roman" w:hAnsi="Times New Roman"/>
          <w:sz w:val="20"/>
        </w:rPr>
        <w:t xml:space="preserve">, </w:t>
      </w:r>
      <w:r>
        <w:rPr>
          <w:rFonts w:ascii="Times New Roman" w:hAnsi="Times New Roman"/>
          <w:sz w:val="20"/>
          <w:u w:val="single"/>
        </w:rPr>
        <w:t>3.08(b)</w:t>
      </w:r>
      <w:r>
        <w:rPr>
          <w:rFonts w:ascii="Times New Roman" w:hAnsi="Times New Roman"/>
          <w:sz w:val="20"/>
        </w:rPr>
        <w:t xml:space="preserve">, </w:t>
      </w:r>
      <w:r>
        <w:rPr>
          <w:rFonts w:ascii="Times New Roman" w:hAnsi="Times New Roman"/>
          <w:sz w:val="20"/>
          <w:u w:val="single"/>
        </w:rPr>
        <w:t>3.08(c)</w:t>
      </w:r>
      <w:r>
        <w:rPr>
          <w:rFonts w:ascii="Times New Roman" w:hAnsi="Times New Roman"/>
          <w:sz w:val="20"/>
        </w:rPr>
        <w:t xml:space="preserve"> or </w:t>
      </w:r>
      <w:r>
        <w:rPr>
          <w:rFonts w:ascii="Times New Roman" w:hAnsi="Times New Roman"/>
          <w:sz w:val="20"/>
          <w:u w:val="single"/>
        </w:rPr>
        <w:t>3.08(d)</w:t>
      </w:r>
      <w:r>
        <w:rPr>
          <w:rFonts w:ascii="Times New Roman" w:hAnsi="Times New Roman"/>
          <w:sz w:val="20"/>
        </w:rPr>
        <w:t xml:space="preserve"> (a “</w:t>
      </w:r>
      <w:r>
        <w:rPr>
          <w:rFonts w:ascii="Times New Roman" w:hAnsi="Times New Roman"/>
          <w:b/>
          <w:sz w:val="20"/>
        </w:rPr>
        <w:t>Net Cash Proceeds Offer</w:t>
      </w:r>
      <w:r>
        <w:rPr>
          <w:rFonts w:ascii="Times New Roman" w:hAnsi="Times New Roman"/>
          <w:sz w:val="20"/>
        </w:rPr>
        <w:t xml:space="preserve">”), the Issuer shall make an offer to purchase all or any portion (equal to $1.00 or an integral multiple of $1.00 in excess thereof) of the Notes at a price equal to the redemption price that would have applied for an optional redemption of such Notes at such time pursuant to </w:t>
      </w:r>
      <w:r>
        <w:rPr>
          <w:rFonts w:ascii="Times New Roman" w:hAnsi="Times New Roman"/>
          <w:sz w:val="20"/>
          <w:u w:val="single"/>
        </w:rPr>
        <w:t>Section 3.07</w:t>
      </w:r>
      <w:r>
        <w:rPr>
          <w:rFonts w:ascii="Times New Roman" w:hAnsi="Times New Roman"/>
          <w:sz w:val="20"/>
        </w:rPr>
        <w:t xml:space="preserve"> (the “</w:t>
      </w:r>
      <w:r>
        <w:rPr>
          <w:rFonts w:ascii="Times New Roman" w:hAnsi="Times New Roman"/>
          <w:b/>
          <w:sz w:val="20"/>
        </w:rPr>
        <w:t>Net Cash Proceeds</w:t>
      </w:r>
      <w:r>
        <w:rPr>
          <w:rFonts w:ascii="Times New Roman" w:hAnsi="Times New Roman"/>
          <w:sz w:val="20"/>
        </w:rPr>
        <w:t xml:space="preserve"> </w:t>
      </w:r>
      <w:r>
        <w:rPr>
          <w:rFonts w:ascii="Times New Roman" w:hAnsi="Times New Roman"/>
          <w:b/>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 later than thirty (30) days following any Net Cash Proceeds Offer, the Issuer will deliver, or cause to be delivered to the Holders, with a copy to the Trustee, a notice: </w:t>
      </w:r>
    </w:p>
    <w:p>
      <w:pPr>
        <w:pStyle w:val="TextBody"/>
        <w:bidi w:val="0"/>
        <w:spacing w:before="120" w:after="0"/>
        <w:jc w:val="left"/>
        <w:rPr>
          <w:rFonts w:ascii="Times New Roman" w:hAnsi="Times New Roman"/>
          <w:sz w:val="20"/>
        </w:rPr>
      </w:pPr>
      <w:r>
        <w:rPr>
          <w:rFonts w:ascii="Times New Roman" w:hAnsi="Times New Roman"/>
          <w:sz w:val="20"/>
        </w:rPr>
        <w:t xml:space="preserve">(A) describing the transaction or transactions that constitute the Net Cash Proceeds Offer; </w:t>
      </w:r>
    </w:p>
    <w:p>
      <w:pPr>
        <w:pStyle w:val="TextBody"/>
        <w:bidi w:val="0"/>
        <w:spacing w:before="120" w:after="0"/>
        <w:jc w:val="left"/>
        <w:rPr>
          <w:rFonts w:ascii="Times New Roman" w:hAnsi="Times New Roman"/>
          <w:sz w:val="20"/>
        </w:rPr>
      </w:pPr>
      <w:r>
        <w:rPr>
          <w:rFonts w:ascii="Times New Roman" w:hAnsi="Times New Roman"/>
          <w:sz w:val="20"/>
        </w:rPr>
        <w:t>(B) offering to purchase, pursuant to procedures required by this Indenture and described in the Net Cash Proceeds Offer, on a date specified in the notice, which shall be a Business Day not earlier than 30 days, nor later than 60 days, from the date the notice is delivered (the “</w:t>
      </w:r>
      <w:r>
        <w:rPr>
          <w:rFonts w:ascii="Times New Roman" w:hAnsi="Times New Roman"/>
          <w:b/>
          <w:sz w:val="20"/>
        </w:rPr>
        <w:t>Net Cash Proceeds Payment Date</w:t>
      </w:r>
      <w:r>
        <w:rPr>
          <w:rFonts w:ascii="Times New Roman" w:hAnsi="Times New Roman"/>
          <w:sz w:val="20"/>
        </w:rPr>
        <w:t xml:space="preserve">”), and for the Net Cash Proceeds Purchase Price, all Notes properly tendered by such Holder pursuant to such Net Cash Proceeds Offer prior to 5:00 p.m. New York time on the second Business Day preceding the Net Cash Proceeds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describing the procedures, as determined by the Issuer, consistent with this Indenture, that Holders must follow to accept the Net Cash Proceeds Offer. </w:t>
      </w:r>
    </w:p>
    <w:p>
      <w:pPr>
        <w:pStyle w:val="TextBody"/>
        <w:bidi w:val="0"/>
        <w:spacing w:before="240" w:after="0"/>
        <w:jc w:val="left"/>
        <w:rPr>
          <w:rFonts w:ascii="Times New Roman" w:hAnsi="Times New Roman"/>
          <w:sz w:val="20"/>
        </w:rPr>
      </w:pPr>
      <w:r>
        <w:rPr>
          <w:rFonts w:ascii="Times New Roman" w:hAnsi="Times New Roman"/>
          <w:sz w:val="20"/>
        </w:rPr>
        <w:t xml:space="preserve">(ii) [Reserved.] </w:t>
      </w:r>
    </w:p>
    <w:p>
      <w:pPr>
        <w:pStyle w:val="TextBody"/>
        <w:bidi w:val="0"/>
        <w:spacing w:before="240" w:after="0"/>
        <w:jc w:val="left"/>
        <w:rPr>
          <w:rFonts w:ascii="Times New Roman" w:hAnsi="Times New Roman"/>
          <w:sz w:val="20"/>
        </w:rPr>
      </w:pPr>
      <w:r>
        <w:rPr>
          <w:rFonts w:ascii="Times New Roman" w:hAnsi="Times New Roman"/>
          <w:sz w:val="20"/>
        </w:rPr>
        <w:t xml:space="preserve">(iii) On or before the Net Cash Proceeds Payment Date, the Issuer will,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(A) deposit with the applicable tender agent an amount equal to the Net Cash Proceeds Purchase Price in respect of all Notes or portions of Notes properly tendered; </w:t>
      </w:r>
    </w:p>
    <w:p>
      <w:pPr>
        <w:pStyle w:val="TextBody"/>
        <w:bidi w:val="0"/>
        <w:spacing w:before="120" w:after="0"/>
        <w:jc w:val="left"/>
        <w:rPr>
          <w:rFonts w:ascii="Times New Roman" w:hAnsi="Times New Roman"/>
          <w:sz w:val="20"/>
        </w:rPr>
      </w:pPr>
      <w:r>
        <w:rPr>
          <w:rFonts w:ascii="Times New Roman" w:hAnsi="Times New Roman"/>
          <w:sz w:val="20"/>
        </w:rPr>
        <w:t xml:space="preserve">(B) accept for payment all Notes or portions of Notes (of $1.00 or integral multiples of $1.00 in excess thereof) properly tendered pursuant to the Net Cash Proceeds Offer; and </w:t>
      </w:r>
    </w:p>
    <w:p>
      <w:pPr>
        <w:pStyle w:val="TextBody"/>
        <w:bidi w:val="0"/>
        <w:spacing w:before="120" w:after="0"/>
        <w:jc w:val="left"/>
        <w:rPr>
          <w:rFonts w:ascii="Times New Roman" w:hAnsi="Times New Roman"/>
          <w:sz w:val="20"/>
        </w:rPr>
      </w:pPr>
      <w:r>
        <w:rPr>
          <w:rFonts w:ascii="Times New Roman" w:hAnsi="Times New Roman"/>
          <w:sz w:val="20"/>
        </w:rPr>
        <w:t xml:space="preserve">(C) deliver or cause to be delivered to the Trustee the Notes so accepted together with an Officer’s Certificate stating the aggregate principal amount of being purchased by the Issuer. </w:t>
      </w:r>
    </w:p>
    <w:p>
      <w:pPr>
        <w:pStyle w:val="TextBody"/>
        <w:bidi w:val="0"/>
        <w:spacing w:before="240" w:after="0"/>
        <w:jc w:val="left"/>
        <w:rPr>
          <w:rFonts w:ascii="Times New Roman" w:hAnsi="Times New Roman"/>
          <w:sz w:val="20"/>
        </w:rPr>
      </w:pPr>
      <w:r>
        <w:rPr>
          <w:rFonts w:ascii="Times New Roman" w:hAnsi="Times New Roman"/>
          <w:sz w:val="20"/>
        </w:rPr>
        <w:t>(iv) The applicable tender agent will promptly deliver to each Holder who has so tendered Notes the Net Cash Proceeds Purchase Price for such Notes, and, in the case of non-global forms of Notes, the Trustee will promptly authenticate and mail to each Holder a new Note equal in principal amount to any unpurchased portion of the Notes so tendered, if any; </w:t>
      </w:r>
      <w:r>
        <w:rPr>
          <w:rFonts w:ascii="Times New Roman" w:hAnsi="Times New Roman"/>
          <w:i/>
          <w:sz w:val="20"/>
        </w:rPr>
        <w:t>provided</w:t>
      </w:r>
      <w:r>
        <w:rPr>
          <w:rFonts w:ascii="Times New Roman" w:hAnsi="Times New Roman"/>
          <w:sz w:val="20"/>
        </w:rPr>
        <w:t xml:space="preserve"> that each such new Note will be in a principal amount of $1.00 or integral multiples of $1.00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(v) If the Net Cash Proceeds Payment Date is on or after an interest record date and on or before the related Interest Payment Date, then with respect to Holders who have tendered their Notes for purchase pursuant to the Net Cash Proceeds Offer, any accrued and unpaid interest, if any, to, but excluding, the Net Cash Proceeds Payment Date will be paid on the Net Cash Proceeds Payment Date to the Person in whose name a Note is registered at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(vi) [Reserved.] </w:t>
      </w:r>
    </w:p>
    <w:p>
      <w:pPr>
        <w:pStyle w:val="TextBody"/>
        <w:bidi w:val="0"/>
        <w:spacing w:before="240" w:after="0"/>
        <w:jc w:val="left"/>
        <w:rPr>
          <w:rFonts w:ascii="Times New Roman" w:hAnsi="Times New Roman"/>
          <w:sz w:val="20"/>
        </w:rPr>
      </w:pPr>
      <w:r>
        <w:rPr>
          <w:rFonts w:ascii="Times New Roman" w:hAnsi="Times New Roman"/>
          <w:sz w:val="20"/>
        </w:rPr>
        <w:t xml:space="preserve">(vii) [Reserved.] </w:t>
      </w:r>
    </w:p>
    <w:p>
      <w:pPr>
        <w:pStyle w:val="TextBody"/>
        <w:bidi w:val="0"/>
        <w:spacing w:before="240" w:after="0"/>
        <w:jc w:val="left"/>
        <w:rPr>
          <w:rFonts w:ascii="Times New Roman" w:hAnsi="Times New Roman"/>
          <w:sz w:val="20"/>
        </w:rPr>
      </w:pPr>
      <w:r>
        <w:rPr>
          <w:rFonts w:ascii="Times New Roman" w:hAnsi="Times New Roman"/>
          <w:sz w:val="20"/>
        </w:rPr>
        <w:t xml:space="preserve">(viii) The Issuer shall comply with all applicable securities legislation in the United States, including, without limitation, the requirements of Rule 14e-1 under the Exchange Act and any other applicable laws and regulations in connection with the purchase of Notes pursuant to a Net Cash Proceeds Offer. To the extent that the provisions of any applicable securities laws or regulations conflict with this </w:t>
      </w:r>
      <w:r>
        <w:rPr>
          <w:rFonts w:ascii="Times New Roman" w:hAnsi="Times New Roman"/>
          <w:sz w:val="20"/>
          <w:u w:val="single"/>
        </w:rPr>
        <w:t>Section 3.08</w:t>
      </w:r>
      <w:r>
        <w:rPr>
          <w:rFonts w:ascii="Times New Roman" w:hAnsi="Times New Roman"/>
          <w:sz w:val="20"/>
        </w:rPr>
        <w:t xml:space="preserve">, the Issuer shall comply with the applicable securities laws and regulations and shall not be deemed to have breached its obligations under this </w:t>
      </w:r>
      <w:r>
        <w:rPr>
          <w:rFonts w:ascii="Times New Roman" w:hAnsi="Times New Roman"/>
          <w:sz w:val="20"/>
          <w:u w:val="single"/>
        </w:rPr>
        <w:t>Section 3.08</w:t>
      </w:r>
      <w:r>
        <w:rPr>
          <w:rFonts w:ascii="Times New Roman" w:hAnsi="Times New Roman"/>
          <w:sz w:val="20"/>
        </w:rPr>
        <w:t xml:space="preserve"> by virtue of such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Change of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occurrence of a Change of Control Triggering Event, the Issuer shall make an offer to purchase all or any portion (equal to $1.00 or an integral multiple of $1.00 in excess thereof and) of the Notes at a price equal to the redemption price that would have applied for an optional redemption of such Notes at such time pursuant to </w:t>
      </w:r>
      <w:r>
        <w:rPr>
          <w:rFonts w:ascii="Times New Roman" w:hAnsi="Times New Roman"/>
          <w:sz w:val="20"/>
          <w:u w:val="single"/>
        </w:rPr>
        <w:t>Section 3.07</w:t>
      </w:r>
      <w:r>
        <w:rPr>
          <w:rFonts w:ascii="Times New Roman" w:hAnsi="Times New Roman"/>
          <w:sz w:val="20"/>
        </w:rPr>
        <w:t xml:space="preserve"> (together with any accrued and unpaid interest) (the “</w:t>
      </w:r>
      <w:r>
        <w:rPr>
          <w:rFonts w:ascii="Times New Roman" w:hAnsi="Times New Roman"/>
          <w:b/>
          <w:sz w:val="20"/>
        </w:rPr>
        <w:t>Change of Control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 later than thirty (30) days following any Change of Control Triggering Event, the Issuer will deliver, or cause to be delivered to the Holders, with a copy to the Trustee, a notice: </w:t>
      </w:r>
    </w:p>
    <w:p>
      <w:pPr>
        <w:pStyle w:val="TextBody"/>
        <w:bidi w:val="0"/>
        <w:spacing w:before="240" w:after="0"/>
        <w:jc w:val="left"/>
        <w:rPr>
          <w:rFonts w:ascii="Times New Roman" w:hAnsi="Times New Roman"/>
          <w:sz w:val="20"/>
        </w:rPr>
      </w:pPr>
      <w:r>
        <w:rPr>
          <w:rFonts w:ascii="Times New Roman" w:hAnsi="Times New Roman"/>
          <w:sz w:val="20"/>
        </w:rPr>
        <w:t xml:space="preserve">(i) describing the transaction or transactions that constitute the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(ii) offering to purchase, pursuant to procedures required by this Indenture and described in the notice (the “</w:t>
      </w:r>
      <w:r>
        <w:rPr>
          <w:rFonts w:ascii="Times New Roman" w:hAnsi="Times New Roman"/>
          <w:b/>
          <w:sz w:val="20"/>
        </w:rPr>
        <w:t>Change of Control Offer</w:t>
      </w:r>
      <w:r>
        <w:rPr>
          <w:rFonts w:ascii="Times New Roman" w:hAnsi="Times New Roman"/>
          <w:sz w:val="20"/>
        </w:rPr>
        <w:t>”), on a date specified in the notice, which shall be a Business Day not earlier than 30 days, nor later than 60 days, from the date the notice is delivered (the “</w:t>
      </w:r>
      <w:r>
        <w:rPr>
          <w:rFonts w:ascii="Times New Roman" w:hAnsi="Times New Roman"/>
          <w:b/>
          <w:sz w:val="20"/>
        </w:rPr>
        <w:t>Change of Control Payment Date</w:t>
      </w:r>
      <w:r>
        <w:rPr>
          <w:rFonts w:ascii="Times New Roman" w:hAnsi="Times New Roman"/>
          <w:sz w:val="20"/>
        </w:rPr>
        <w:t xml:space="preserve">”), and for the Change of Control Purchase Price, all Notes properly tendered by such Holder pursuant to such Change of Control Offer prior to 5:00 p.m. New York time on the second Business Day preceding the Change of Control Payment Date; and </w:t>
      </w:r>
    </w:p>
    <w:p>
      <w:pPr>
        <w:pStyle w:val="TextBody"/>
        <w:bidi w:val="0"/>
        <w:spacing w:before="240" w:after="0"/>
        <w:jc w:val="left"/>
        <w:rPr>
          <w:rFonts w:ascii="Times New Roman" w:hAnsi="Times New Roman"/>
          <w:sz w:val="20"/>
        </w:rPr>
      </w:pPr>
      <w:r>
        <w:rPr>
          <w:rFonts w:ascii="Times New Roman" w:hAnsi="Times New Roman"/>
          <w:sz w:val="20"/>
        </w:rPr>
        <w:t xml:space="preserve">(iii) describing the procedures, as determined by the Issuer, consistent with this Indenture, that Holders must follow to accept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On or before the Change of Control Payment Date, the Issuer will,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(i) deposit with the applicable tender agent an amount equal to the Change of Control Purchase Price in respect of all Notes or portions of Notes properly tendered; </w:t>
      </w:r>
    </w:p>
    <w:p>
      <w:pPr>
        <w:pStyle w:val="TextBody"/>
        <w:bidi w:val="0"/>
        <w:spacing w:before="240" w:after="0"/>
        <w:jc w:val="left"/>
        <w:rPr>
          <w:rFonts w:ascii="Times New Roman" w:hAnsi="Times New Roman"/>
          <w:sz w:val="20"/>
        </w:rPr>
      </w:pPr>
      <w:r>
        <w:rPr>
          <w:rFonts w:ascii="Times New Roman" w:hAnsi="Times New Roman"/>
          <w:sz w:val="20"/>
        </w:rPr>
        <w:t xml:space="preserve">(ii) accept for payment all Notes or portions of Notes (of $1.00 or integral multiples of $1.00 in excess thereof) properly tendered pursuant to the Change of Control Offer; and </w:t>
      </w:r>
    </w:p>
    <w:p>
      <w:pPr>
        <w:pStyle w:val="TextBody"/>
        <w:bidi w:val="0"/>
        <w:spacing w:before="240" w:after="0"/>
        <w:jc w:val="left"/>
        <w:rPr>
          <w:rFonts w:ascii="Times New Roman" w:hAnsi="Times New Roman"/>
          <w:sz w:val="20"/>
        </w:rPr>
      </w:pPr>
      <w:r>
        <w:rPr>
          <w:rFonts w:ascii="Times New Roman" w:hAnsi="Times New Roman"/>
          <w:sz w:val="20"/>
        </w:rPr>
        <w:t xml:space="preserve">(iii) deliver or cause to be delivered to the Trustee the Notes so accepted together with an Officer’s Certificate stating the aggregate principal amount of being purchased by the Issuer. </w:t>
      </w:r>
    </w:p>
    <w:p>
      <w:pPr>
        <w:pStyle w:val="TextBody"/>
        <w:bidi w:val="0"/>
        <w:spacing w:before="240" w:after="0"/>
        <w:jc w:val="left"/>
        <w:rPr>
          <w:rFonts w:ascii="Times New Roman" w:hAnsi="Times New Roman"/>
          <w:sz w:val="20"/>
        </w:rPr>
      </w:pPr>
      <w:r>
        <w:rPr>
          <w:rFonts w:ascii="Times New Roman" w:hAnsi="Times New Roman"/>
          <w:sz w:val="20"/>
        </w:rPr>
        <w:t>(e) The applicable tender agent will promptly deliver to each Holder who has so tendered Notes the Change of Control Purchase Price for such Notes, and, in the case of non-global forms of Notes, the Trustee will promptly authenticate and mail to each Holder a new Note equal in principal amount to any unpurchased portion of the Notes so tendered, if any; </w:t>
      </w:r>
      <w:r>
        <w:rPr>
          <w:rFonts w:ascii="Times New Roman" w:hAnsi="Times New Roman"/>
          <w:i/>
          <w:sz w:val="20"/>
        </w:rPr>
        <w:t>provided</w:t>
      </w:r>
      <w:r>
        <w:rPr>
          <w:rFonts w:ascii="Times New Roman" w:hAnsi="Times New Roman"/>
          <w:sz w:val="20"/>
        </w:rPr>
        <w:t xml:space="preserve"> that each such new Note will be in a principal amount of $1.00 or integral multiples of $1.00 in excess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If the Change of Control Payment Date is on or after an interest record date and on or before the related Interest Payment Date, then with respect to Holders who have tendered their Notes for purchase pursuant to the Change of Control Offer, any accrued and unpaid interest, if any, to, but excluding, the Change of Control Payment Date will be paid on the Change of Control Payment Date to the Person in whose name a Note is registered at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(g) A Change of Control Offer shall remain open for at least 20 Business Days or for such longer period as is required by law. The Issuer shall publicly announce the results of the Change of Control Offer on or as soon as practicable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(h) [Reserved.] </w:t>
      </w:r>
    </w:p>
    <w:p>
      <w:pPr>
        <w:pStyle w:val="TextBody"/>
        <w:bidi w:val="0"/>
        <w:spacing w:before="240" w:after="0"/>
        <w:jc w:val="left"/>
        <w:rPr>
          <w:rFonts w:ascii="Times New Roman" w:hAnsi="Times New Roman"/>
          <w:sz w:val="20"/>
        </w:rPr>
      </w:pPr>
      <w:r>
        <w:rPr>
          <w:rFonts w:ascii="Times New Roman" w:hAnsi="Times New Roman"/>
          <w:sz w:val="20"/>
        </w:rPr>
        <w:t xml:space="preserve">(i) The Issuer shall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w:t>
      </w:r>
      <w:r>
        <w:rPr>
          <w:rFonts w:ascii="Times New Roman" w:hAnsi="Times New Roman"/>
          <w:sz w:val="20"/>
          <w:u w:val="single"/>
        </w:rPr>
        <w:t>Section 3.09</w:t>
      </w:r>
      <w:r>
        <w:rPr>
          <w:rFonts w:ascii="Times New Roman" w:hAnsi="Times New Roman"/>
          <w:sz w:val="20"/>
        </w:rPr>
        <w:t xml:space="preserve">, the Issuer shall comply with the applicable securities laws and regulations and shall not be deemed to have breached its obligations under this </w:t>
      </w:r>
      <w:r>
        <w:rPr>
          <w:rFonts w:ascii="Times New Roman" w:hAnsi="Times New Roman"/>
          <w:sz w:val="20"/>
          <w:u w:val="single"/>
        </w:rPr>
        <w:t>Section 3.09</w:t>
      </w:r>
      <w:r>
        <w:rPr>
          <w:rFonts w:ascii="Times New Roman" w:hAnsi="Times New Roman"/>
          <w:sz w:val="20"/>
        </w:rPr>
        <w:t xml:space="preserve"> by virtue of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Applicable Other Indebtedness</w:t>
      </w:r>
      <w:r>
        <w:rPr>
          <w:rFonts w:ascii="Times New Roman" w:hAnsi="Times New Roman"/>
          <w:sz w:val="20"/>
        </w:rPr>
        <w:t xml:space="preserve">. Notwithstanding anything herein to the contrary, with respect to any mandatory offer to repurchase under </w:t>
      </w:r>
      <w:r>
        <w:rPr>
          <w:rFonts w:ascii="Times New Roman" w:hAnsi="Times New Roman"/>
          <w:sz w:val="20"/>
          <w:u w:val="single"/>
        </w:rPr>
        <w:t>Section 3.08(a)</w:t>
      </w:r>
      <w:r>
        <w:rPr>
          <w:rFonts w:ascii="Times New Roman" w:hAnsi="Times New Roman"/>
          <w:sz w:val="20"/>
        </w:rPr>
        <w:t xml:space="preserve">, </w:t>
      </w:r>
      <w:r>
        <w:rPr>
          <w:rFonts w:ascii="Times New Roman" w:hAnsi="Times New Roman"/>
          <w:sz w:val="20"/>
          <w:u w:val="single"/>
        </w:rPr>
        <w:t>3.08(c)</w:t>
      </w:r>
      <w:r>
        <w:rPr>
          <w:rFonts w:ascii="Times New Roman" w:hAnsi="Times New Roman"/>
          <w:sz w:val="20"/>
        </w:rPr>
        <w:t xml:space="preserve"> or </w:t>
      </w:r>
      <w:r>
        <w:rPr>
          <w:rFonts w:ascii="Times New Roman" w:hAnsi="Times New Roman"/>
          <w:sz w:val="20"/>
          <w:u w:val="single"/>
        </w:rPr>
        <w:t>3.08(d)</w:t>
      </w:r>
      <w:r>
        <w:rPr>
          <w:rFonts w:ascii="Times New Roman" w:hAnsi="Times New Roman"/>
          <w:sz w:val="20"/>
        </w:rPr>
        <w:t xml:space="preserve">, the Issuer may use a portion of the Net Cash Proceeds to prepay or repurchase Permitted Additional Debt, Permitted Pari Passu Refinancing Debt and any other senior Indebtedness in each case secured by the Collateral on a </w:t>
      </w:r>
      <w:r>
        <w:rPr>
          <w:rFonts w:ascii="Times New Roman" w:hAnsi="Times New Roman"/>
          <w:i/>
          <w:sz w:val="20"/>
        </w:rPr>
        <w:t>pari passu</w:t>
      </w:r>
      <w:r>
        <w:rPr>
          <w:rFonts w:ascii="Times New Roman" w:hAnsi="Times New Roman"/>
          <w:sz w:val="20"/>
        </w:rPr>
        <w:t xml:space="preserve"> basis with the Liens securing the Obligations (the “</w:t>
      </w:r>
      <w:r>
        <w:rPr>
          <w:rFonts w:ascii="Times New Roman" w:hAnsi="Times New Roman"/>
          <w:b/>
          <w:sz w:val="20"/>
        </w:rPr>
        <w:t>Applicable Other Indebtedness</w:t>
      </w:r>
      <w:r>
        <w:rPr>
          <w:rFonts w:ascii="Times New Roman" w:hAnsi="Times New Roman"/>
          <w:sz w:val="20"/>
        </w:rPr>
        <w:t xml:space="preserve">”) to the extent required pursuant to the terms of the documentation governing such Applicable Other Indebtedness, in which case, the purchase price required to be offered with respect to such Net Cash Proceeds pursuant to </w:t>
      </w:r>
      <w:r>
        <w:rPr>
          <w:rFonts w:ascii="Times New Roman" w:hAnsi="Times New Roman"/>
          <w:sz w:val="20"/>
          <w:u w:val="single"/>
        </w:rPr>
        <w:t>Section 3.08(a)</w:t>
      </w:r>
      <w:r>
        <w:rPr>
          <w:rFonts w:ascii="Times New Roman" w:hAnsi="Times New Roman"/>
          <w:sz w:val="20"/>
        </w:rPr>
        <w:t xml:space="preserve">, </w:t>
      </w:r>
      <w:r>
        <w:rPr>
          <w:rFonts w:ascii="Times New Roman" w:hAnsi="Times New Roman"/>
          <w:sz w:val="20"/>
          <w:u w:val="single"/>
        </w:rPr>
        <w:t>3.08(c)</w:t>
      </w:r>
      <w:r>
        <w:rPr>
          <w:rFonts w:ascii="Times New Roman" w:hAnsi="Times New Roman"/>
          <w:sz w:val="20"/>
        </w:rPr>
        <w:t xml:space="preserve"> or </w:t>
      </w:r>
      <w:r>
        <w:rPr>
          <w:rFonts w:ascii="Times New Roman" w:hAnsi="Times New Roman"/>
          <w:sz w:val="20"/>
          <w:u w:val="single"/>
        </w:rPr>
        <w:t>3.08(d)</w:t>
      </w:r>
      <w:r>
        <w:rPr>
          <w:rFonts w:ascii="Times New Roman" w:hAnsi="Times New Roman"/>
          <w:sz w:val="20"/>
        </w:rPr>
        <w:t xml:space="preserve"> shall be deemed to be the amount equal to the product of (A) the amount of such Net Cash Proceeds multiplied by (B) a fraction, the numerator of which is the outstanding principal amount of Notes required to be repurchased pursuant to </w:t>
      </w:r>
      <w:r>
        <w:rPr>
          <w:rFonts w:ascii="Times New Roman" w:hAnsi="Times New Roman"/>
          <w:sz w:val="20"/>
          <w:u w:val="single"/>
        </w:rPr>
        <w:t>Section 3.08(a)</w:t>
      </w:r>
      <w:r>
        <w:rPr>
          <w:rFonts w:ascii="Times New Roman" w:hAnsi="Times New Roman"/>
          <w:sz w:val="20"/>
        </w:rPr>
        <w:t xml:space="preserve">, </w:t>
      </w:r>
      <w:r>
        <w:rPr>
          <w:rFonts w:ascii="Times New Roman" w:hAnsi="Times New Roman"/>
          <w:sz w:val="20"/>
          <w:u w:val="single"/>
        </w:rPr>
        <w:t>3.08(c)</w:t>
      </w:r>
      <w:r>
        <w:rPr>
          <w:rFonts w:ascii="Times New Roman" w:hAnsi="Times New Roman"/>
          <w:sz w:val="20"/>
        </w:rPr>
        <w:t xml:space="preserve"> or </w:t>
      </w:r>
      <w:r>
        <w:rPr>
          <w:rFonts w:ascii="Times New Roman" w:hAnsi="Times New Roman"/>
          <w:sz w:val="20"/>
          <w:u w:val="single"/>
        </w:rPr>
        <w:t>3.08(d)</w:t>
      </w:r>
      <w:r>
        <w:rPr>
          <w:rFonts w:ascii="Times New Roman" w:hAnsi="Times New Roman"/>
          <w:sz w:val="20"/>
        </w:rPr>
        <w:t xml:space="preserve"> and the denominator of which is the sum of the outstanding principal amount of such Applicable Other Indebtedness and the outstanding principal amount of Notes required to be repurchased pursuant to </w:t>
      </w:r>
      <w:r>
        <w:rPr>
          <w:rFonts w:ascii="Times New Roman" w:hAnsi="Times New Roman"/>
          <w:sz w:val="20"/>
          <w:u w:val="single"/>
        </w:rPr>
        <w:t>Section 3.08(a)</w:t>
      </w:r>
      <w:r>
        <w:rPr>
          <w:rFonts w:ascii="Times New Roman" w:hAnsi="Times New Roman"/>
          <w:sz w:val="20"/>
        </w:rPr>
        <w:t xml:space="preserve">, </w:t>
      </w:r>
      <w:r>
        <w:rPr>
          <w:rFonts w:ascii="Times New Roman" w:hAnsi="Times New Roman"/>
          <w:sz w:val="20"/>
          <w:u w:val="single"/>
        </w:rPr>
        <w:t>3.08(c)</w:t>
      </w:r>
      <w:r>
        <w:rPr>
          <w:rFonts w:ascii="Times New Roman" w:hAnsi="Times New Roman"/>
          <w:sz w:val="20"/>
        </w:rPr>
        <w:t xml:space="preserve"> or </w:t>
      </w:r>
      <w:r>
        <w:rPr>
          <w:rFonts w:ascii="Times New Roman" w:hAnsi="Times New Roman"/>
          <w:sz w:val="20"/>
          <w:u w:val="single"/>
        </w:rPr>
        <w:t>3.08(d).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Mandatory Quarterly Redemption</w:t>
      </w:r>
      <w:r>
        <w:rPr>
          <w:rFonts w:ascii="Times New Roman" w:hAnsi="Times New Roman"/>
          <w:sz w:val="20"/>
        </w:rPr>
        <w:t>. The Issuer shall redeem Notes on the last Business Day of each March, June, September and December, commencing with the last Business Day of the fiscal quarter ending September 30, 2026 (each such date, a “</w:t>
      </w:r>
      <w:r>
        <w:rPr>
          <w:rFonts w:ascii="Times New Roman" w:hAnsi="Times New Roman"/>
          <w:b/>
          <w:sz w:val="20"/>
        </w:rPr>
        <w:t>Quarterly Redemption Date</w:t>
      </w:r>
      <w:r>
        <w:rPr>
          <w:rFonts w:ascii="Times New Roman" w:hAnsi="Times New Roman"/>
          <w:sz w:val="20"/>
        </w:rPr>
        <w:t xml:space="preserve">”), in an amount equal to two percent (2.00%) </w:t>
      </w:r>
      <w:r>
        <w:rPr>
          <w:rFonts w:ascii="Times New Roman" w:hAnsi="Times New Roman"/>
          <w:i/>
          <w:sz w:val="20"/>
        </w:rPr>
        <w:t>per annum</w:t>
      </w:r>
      <w:r>
        <w:rPr>
          <w:rFonts w:ascii="Times New Roman" w:hAnsi="Times New Roman"/>
          <w:sz w:val="20"/>
        </w:rPr>
        <w:t xml:space="preserve"> of all Notes outstanding as of the prior Interest Payment Date (or if no Interest Payment Date has occurred, as of the Restatement Effective Date). At least ten (10) days prior to any Quarterly Redemption Date, the Issuer shall deliver or cause to be delivered a notice of mandatory redemption to each Holder whose Notes are to be redeemed (with a copy to the Trustee). Such notice shall identify the Notes to be redeemed and shall state: </w:t>
      </w:r>
    </w:p>
    <w:p>
      <w:pPr>
        <w:pStyle w:val="TextBody"/>
        <w:bidi w:val="0"/>
        <w:spacing w:before="24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(c) the portion of the principal amount of such Notes to be redeemed and that, after the redemption date, upon surrender of such Note, a new Note or Notes in principal amount equal to the unredeemed portion shall be issued upon cancellation of the original Note (or appropriate adjustments to the amount and beneficial interests in a Global Note will be made,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(d) the name and address of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(e) that Notes called for redemption must be surrendered to the Paying Agent to collect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(f) that, unless the Issuer defaults in making such redemption payment, interest, if any, on Notes called for redemption ceases to accrue on and after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(g) the paragraph of the Notes and/or Section of this Indenture pursuant to which the Notes called for redemption are being redeemed; and </w:t>
      </w:r>
    </w:p>
    <w:p>
      <w:pPr>
        <w:pStyle w:val="TextBody"/>
        <w:bidi w:val="0"/>
        <w:spacing w:before="240" w:after="0"/>
        <w:jc w:val="left"/>
        <w:rPr>
          <w:rFonts w:ascii="Times New Roman" w:hAnsi="Times New Roman"/>
          <w:sz w:val="20"/>
        </w:rPr>
      </w:pPr>
      <w:r>
        <w:rPr>
          <w:rFonts w:ascii="Times New Roman" w:hAnsi="Times New Roman"/>
          <w:sz w:val="20"/>
        </w:rPr>
        <w:t xml:space="preserve">(h) that no representation is made as to the correctness or accuracy of the CUSIP number, if any, listed in such notice or printed on the Notes. </w:t>
      </w:r>
    </w:p>
    <w:p>
      <w:pPr>
        <w:pStyle w:val="TextBody"/>
        <w:bidi w:val="0"/>
        <w:spacing w:before="240" w:after="0"/>
        <w:jc w:val="left"/>
        <w:rPr>
          <w:rFonts w:ascii="Times New Roman" w:hAnsi="Times New Roman"/>
          <w:sz w:val="20"/>
        </w:rPr>
      </w:pPr>
      <w:r>
        <w:rPr>
          <w:rFonts w:ascii="Times New Roman" w:hAnsi="Times New Roman"/>
          <w:sz w:val="20"/>
        </w:rPr>
        <w:t xml:space="preserve">At the Issuer’s written request, the Trustee shall give the notice of redemption in the Issuer’s name and at the Issuer’s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Issuer shall have delivered to the Trustee, at least three Business Days prior to the date of the giving of the notice of redemption (or such shorter period as is acceptable to the Trustee), an Officer’s Certificate requesting that the Trustee give such notice and setting forth the information to be stated in the notice as provided in the preceding paragraph. Any such request to the Trustee may be revoked or cancelled at any time prior to notice of such redemption being sent to any Holder and shall thereby be void and of no effect. The notice sent in the manner herein provided shall be deemed to have been duly given whether or not the Holder receives such notice. In any case, failure to give such notice or any defect in the notice to the Holder of any Note shall not affect the validity of the proceeding for the redemption of any other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Note Party warrants, covenants and agrees that it will, and will cause each of its Restricted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Payment of Notes</w:t>
      </w:r>
      <w:r>
        <w:rPr>
          <w:rFonts w:ascii="Times New Roman" w:hAnsi="Times New Roman"/>
          <w:sz w:val="20"/>
        </w:rPr>
        <w:t xml:space="preserve">. Pay or cause to be paid (a) the principal of, premium, if any, and interest on the Notes on the dates and in the manner provided in the Notes. Principal, premium, if any, and interest shall be considered paid for all purposes hereunder on the date the Trustee or the Paying Agent (if other than the Issuer or a Subsidiary thereof) holds, as of 12:00 p.m. (New York City time) on the relevant payment date, U.S. dollars deposited by the Issuer in immediately available funds and designated for and sufficient to pay all such principal, premium, if any, and interest then due and (b) in the case of a PIK Election, the Issuer has delivered to the Trustee the documentation necessary to increase the principal balance of the Global Notes to pay PIK Interest or to issue the PIK Notes. The Issuer shall pay interest (including post-petition interest in any proceeding under any Debtor Relief Law) on overdue principal at the rate equal to the then applicable interest rate on the Notes to the extent lawful; it shall pay interest (including post-petition interest in any proceeding under any Debtor Relief Law) on overdue installments of interest (without regard to any applicable grace period), at the same rate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Maintain an office or agency where, subject to such reasonable regulations as the Issuer or the Trustee may prescribe, Notes may be surrendered for registration of transfer or for exchange and where notices and demands to or upon the Issuer and Guarantors in respect of the Notes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(b)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(other than service of legal process) may be made or served at the Corporate Trust Office of the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the Trustee shall not be deemed an agent of the Issuer for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(c)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(d) Designate the Corporate Trust Office of the Trustee as one such office or agency of the Issuer in accordance with </w:t>
      </w:r>
      <w:r>
        <w:rPr>
          <w:rFonts w:ascii="Times New Roman" w:hAnsi="Times New Roman"/>
          <w:sz w:val="20"/>
          <w:u w:val="single"/>
        </w:rPr>
        <w:t>Section 2.03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Financial Statements, Reports, etc.. Furnish to the Trustee and each 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Reports</w:t>
      </w:r>
      <w:r>
        <w:rPr>
          <w:rFonts w:ascii="Times New Roman" w:hAnsi="Times New Roman"/>
          <w:sz w:val="20"/>
        </w:rPr>
        <w:t xml:space="preserve">. Within one hundred twenty (120) days after the last day of each fiscal year of the Issuer (commencing with the fiscal year ending December 31, 2024), a copy of the consolidated balance sheet of the Issuer and its Restricted Subsidiaries as of the last day of the fiscal year then ended and the consolidated statements of income and cash flows of Issuer and its Restricted Subsidiaries for the fiscal year then ended, and accompanying notes thereto, each in reasonable detail showing in comparative form the figures for the previous fiscal year, audited and accompanied in the case of the consolidated financial statements by an opinion of (i) an independent public accounting firm of recognized national standing selected by Issuer (which shall be deemed to include, for the avoidance of doubt, Deloitte &amp; Touche LLP) or (ii) any other accounting firm approved by the Controlling Parties (which opinion shall be unqualified as to scope, subject to the proviso below) to the effect that the consolidated financial statements have been prepared and present fairly, in all material respects, in accordance with GAAP, the consolidated financial condition of Issuer and its Restricted Subsidiaries as of the close of such fiscal year; </w:t>
      </w:r>
      <w:r>
        <w:rPr>
          <w:rFonts w:ascii="Times New Roman" w:hAnsi="Times New Roman"/>
          <w:i/>
          <w:sz w:val="20"/>
        </w:rPr>
        <w:t>provided</w:t>
      </w:r>
      <w:r>
        <w:rPr>
          <w:rFonts w:ascii="Times New Roman" w:hAnsi="Times New Roman"/>
          <w:sz w:val="20"/>
        </w:rPr>
        <w:t xml:space="preserve">, that, such financial statements shall not contain a “going concern” qualification or statement, except to the extent that such a “going concern” qualification or statement is solely a consequence of any impending stated final maturity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Quarterly Reports</w:t>
      </w:r>
      <w:r>
        <w:rPr>
          <w:rFonts w:ascii="Times New Roman" w:hAnsi="Times New Roman"/>
          <w:sz w:val="20"/>
        </w:rPr>
        <w:t xml:space="preserve">. Commencing with the first full fiscal quarter ending after the Closing Date, within forty-five (45) days after the last day of each fiscal quarter of each fiscal year of Issuer (other than the last fiscal quarter of any fiscal year of Issuer), a copy of the unaudited consolidated balance sheet of the Issuer and its Restricted Subsidiaries as of the last day of such fiscal quarter and the unaudited consolidated statements of income and cash flows of the Issuer and its Restricted Subsidiaries for the fiscal quarter and for the fiscal year-to-date period then ended, each in reasonable detail and showing in comparative form the figures for the corresponding date and period in the previous fiscal year of the Issuer, prepared by Issuer in accordance with GAAP (subject to the absence of footnote disclosures and year-end audit adjustments) and certified on behalf of Issuer by a Financial Officer as prepared in accordance with GAAP (subject to the absence of footnote disclosures and year-end audit adjustments) and fairly reflecting the financial condition and results of operations of the Issuer and its Restricted Subsidiaries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Financial Officer’s Certificate</w:t>
      </w:r>
      <w:r>
        <w:rPr>
          <w:rFonts w:ascii="Times New Roman" w:hAnsi="Times New Roman"/>
          <w:sz w:val="20"/>
        </w:rPr>
        <w:t xml:space="preserve">. Concurrently with any delivery of financial statements under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a Compliance Certificate (i) certifying on behalf of Issuer that, to its knowledge, no Default or Event of Default has occurred and is continuing or, if any such known Default or Event of Default has occurred and is continuing, specifying the nature and extent thereof and any corrective action taken or proposed to be taken with respect thereto; </w:t>
      </w:r>
      <w:r>
        <w:rPr>
          <w:rFonts w:ascii="Times New Roman" w:hAnsi="Times New Roman"/>
          <w:i/>
          <w:sz w:val="20"/>
        </w:rPr>
        <w:t>provided</w:t>
      </w:r>
      <w:r>
        <w:rPr>
          <w:rFonts w:ascii="Times New Roman" w:hAnsi="Times New Roman"/>
          <w:sz w:val="20"/>
        </w:rPr>
        <w:t xml:space="preserve">, that, if such Compliance Certificate demonstrates that an Event of Default has occurred and is continuing due to a failure to comply with </w:t>
      </w:r>
      <w:r>
        <w:rPr>
          <w:rFonts w:ascii="Times New Roman" w:hAnsi="Times New Roman"/>
          <w:sz w:val="20"/>
          <w:u w:val="single"/>
        </w:rPr>
        <w:t>Section 6.08(a)</w:t>
      </w:r>
      <w:r>
        <w:rPr>
          <w:rFonts w:ascii="Times New Roman" w:hAnsi="Times New Roman"/>
          <w:sz w:val="20"/>
        </w:rPr>
        <w:t xml:space="preserve"> that has not been cured prior to such time, the Issuer may deliver, to the extent and within the time period permitted by </w:t>
      </w:r>
      <w:r>
        <w:rPr>
          <w:rFonts w:ascii="Times New Roman" w:hAnsi="Times New Roman"/>
          <w:sz w:val="20"/>
          <w:u w:val="single"/>
        </w:rPr>
        <w:t>Section 8.10</w:t>
      </w:r>
      <w:r>
        <w:rPr>
          <w:rFonts w:ascii="Times New Roman" w:hAnsi="Times New Roman"/>
          <w:sz w:val="20"/>
        </w:rPr>
        <w:t xml:space="preserve">, prior to, after or together with such Compliance Certificate, a Notice of Intent to Cure such Event of Default, (ii) setting forth the computation of the Total Net Leverage Ratio, Secured Net Leverage Ratio and a disclosure of Capital Expenditures during the applicable Test Period and, (iii) setting forth, in the case of each Compliance Certificate delivered concurrently with any delivery of financial statements under </w:t>
      </w:r>
      <w:r>
        <w:rPr>
          <w:rFonts w:ascii="Times New Roman" w:hAnsi="Times New Roman"/>
          <w:sz w:val="20"/>
          <w:u w:val="single"/>
        </w:rPr>
        <w:t>Section 5.03(a)</w:t>
      </w:r>
      <w:r>
        <w:rPr>
          <w:rFonts w:ascii="Times New Roman" w:hAnsi="Times New Roman"/>
          <w:sz w:val="20"/>
        </w:rPr>
        <w:t xml:space="preserve"> above, the Issuer’s calculation of Excess Cash Flow starting with the fiscal year ending December 31, 2026; </w:t>
      </w:r>
      <w:r>
        <w:rPr>
          <w:rFonts w:ascii="Times New Roman" w:hAnsi="Times New Roman"/>
          <w:i/>
          <w:sz w:val="20"/>
        </w:rPr>
        <w:t>provided</w:t>
      </w:r>
      <w:r>
        <w:rPr>
          <w:rFonts w:ascii="Times New Roman" w:hAnsi="Times New Roman"/>
          <w:sz w:val="20"/>
        </w:rPr>
        <w:t xml:space="preserve">, that, for the avoidance of doubt, no Compliance Certificate shall “bring down” any representations and warranties made herein or in any other Note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Information</w:t>
      </w:r>
      <w:r>
        <w:rPr>
          <w:rFonts w:ascii="Times New Roman" w:hAnsi="Times New Roman"/>
          <w:sz w:val="20"/>
        </w:rPr>
        <w:t xml:space="preserve">. Promptly, from time to time, and upon the reasonable written request of the Trustee (acting at the direction of the Controlling Parties), other reasonably requested information of the Group Members regarding the operations, business affairs and financial condition (including information required under the PATRIOT Act);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5.03(d)</w:t>
      </w:r>
      <w:r>
        <w:rPr>
          <w:rFonts w:ascii="Times New Roman" w:hAnsi="Times New Roman"/>
          <w:sz w:val="20"/>
        </w:rPr>
        <w:t xml:space="preserve"> shall require any Group Member to take any action that would violate any third party customary confidentiality agreement (other than any such confidentiality agreement entered into in contemplation of this Indenture) with any Person that is not an Affiliate (and, in all events, so long as such confidentiality agreement does not relate to information regarding the financial affairs of any Group Member or the compliance with the terms of any Note Document) or waive any attorney-client or similar privilege.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Reconciliation Statements</w:t>
      </w:r>
      <w:r>
        <w:rPr>
          <w:rFonts w:ascii="Times New Roman" w:hAnsi="Times New Roman"/>
          <w:sz w:val="20"/>
        </w:rPr>
        <w:t xml:space="preserve">. Concurrently with any delivery of financial statements under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(i) the related consolidating financial statements reflecting the adjustments necessary to eliminate the accounts of Unrestricted Subsidiaries (if any) from such consolidated financial statements and (ii) a reasonably detailed description (to which the Controlling Parties have not objected) of the quantitative differences (if any) between the information relating to Issuer and its Subsidiaries, on the one hand, and the information relating to Issuer and its Restricted Subsidiaries on a stand-alone basis, on the other hand, including (in the case of financial statements and projections) a consolidating footnote reflecting the results of Issuer and its Restricted Subsidiaries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Securities Act</w:t>
      </w:r>
      <w:r>
        <w:rPr>
          <w:rFonts w:ascii="Times New Roman" w:hAnsi="Times New Roman"/>
          <w:sz w:val="20"/>
        </w:rPr>
        <w:t xml:space="preserve">. For so long as any Notes remain outstanding and are not freely transferable, the Issuer shall furnish to the Holders and to securities analysts and prospective investors, upon their request, the information required to be delivered pursuant to Rule 144A(d)(4)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delivery of the financial statements pursuant to </w:t>
      </w:r>
      <w:r>
        <w:rPr>
          <w:rFonts w:ascii="Times New Roman" w:hAnsi="Times New Roman"/>
          <w:sz w:val="20"/>
          <w:u w:val="single"/>
        </w:rPr>
        <w:t>Section 5.03(a)</w:t>
      </w:r>
      <w:r>
        <w:rPr>
          <w:rFonts w:ascii="Times New Roman" w:hAnsi="Times New Roman"/>
          <w:sz w:val="20"/>
        </w:rPr>
        <w:t xml:space="preserve">, Issuer shall hold an update call with an Officer of Issuer and Issuer and the Holders to discuss the financial position, financial performance and cash flows of Issuer and its Restricted Subsidiaries for the period covered by the applicable financial statements; </w:t>
      </w:r>
      <w:r>
        <w:rPr>
          <w:rFonts w:ascii="Times New Roman" w:hAnsi="Times New Roman"/>
          <w:i/>
          <w:sz w:val="20"/>
        </w:rPr>
        <w:t>provided</w:t>
      </w:r>
      <w:r>
        <w:rPr>
          <w:rFonts w:ascii="Times New Roman" w:hAnsi="Times New Roman"/>
          <w:sz w:val="20"/>
        </w:rPr>
        <w:t xml:space="preserve">, that, the requirement to provide such an update call shall be deemed satisfied if the Issuer conducts a customary public earnings call for such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5.03(a)</w:t>
      </w:r>
      <w:r>
        <w:rPr>
          <w:rFonts w:ascii="Times New Roman" w:hAnsi="Times New Roman"/>
          <w:sz w:val="20"/>
        </w:rPr>
        <w:t xml:space="preserve"> through </w:t>
      </w:r>
      <w:r>
        <w:rPr>
          <w:rFonts w:ascii="Times New Roman" w:hAnsi="Times New Roman"/>
          <w:sz w:val="20"/>
          <w:u w:val="single"/>
        </w:rPr>
        <w:t>Section 5.03(f)</w:t>
      </w:r>
      <w:r>
        <w:rPr>
          <w:rFonts w:ascii="Times New Roman" w:hAnsi="Times New Roman"/>
          <w:sz w:val="20"/>
        </w:rPr>
        <w:t xml:space="preserve"> shall be deemed to have been delivered (a) if it maintains a customary website (such as Intralinks) on which the reports required by </w:t>
      </w:r>
      <w:r>
        <w:rPr>
          <w:rFonts w:ascii="Times New Roman" w:hAnsi="Times New Roman"/>
          <w:sz w:val="20"/>
          <w:u w:val="single"/>
        </w:rPr>
        <w:t>Section 5.03(a) through (f)</w:t>
      </w:r>
      <w:r>
        <w:rPr>
          <w:rFonts w:ascii="Times New Roman" w:hAnsi="Times New Roman"/>
          <w:sz w:val="20"/>
        </w:rPr>
        <w:t xml:space="preserve"> are posted or (b) on the date the Issuer files such reports electronically with the SEC through EDGAR (or any successor system). Each Holder shall be solely responsible for timely accessing posted documents. If the delivery of any of the foregoing documents required under this </w:t>
      </w:r>
      <w:r>
        <w:rPr>
          <w:rFonts w:ascii="Times New Roman" w:hAnsi="Times New Roman"/>
          <w:sz w:val="20"/>
          <w:u w:val="single"/>
        </w:rPr>
        <w:t>Section 5.03</w:t>
      </w:r>
      <w:r>
        <w:rPr>
          <w:rFonts w:ascii="Times New Roman" w:hAnsi="Times New Roman"/>
          <w:sz w:val="20"/>
        </w:rPr>
        <w:t xml:space="preserve"> shall fall on a day that is not a Business Day, such deliverable shall be due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duty to analyze reports delivered to it. Delivery of such reports, information and documents to the Trustee is for informational purposes only, and the Trustee’s receipt thereof shall not constitute actual or constructive knowledge or notice of any information contained therein or determinable from information contained therein, including the Issuer’s, any Guarantor’s or any other person’s compliance with any of the covenants in this Indenture or the Notes (as to which the Trustee is entitled to rely exclusively on Officer’s Certificates of the Issuer). The Trustee will not be obligated to monitor or confirm, on a continuing basis or otherwise, the Issuer’s, any Guarantor’s or any other person’s compliance with any of the covenants described herein or to determine whether such reports, information or documents have been posted on any website or other online data system or filed with the SEC through EDGAR (or other applicable system) or to participate in any conference calls.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Litigation and Other Notices</w:t>
      </w:r>
      <w:r>
        <w:rPr>
          <w:rFonts w:ascii="Times New Roman" w:hAnsi="Times New Roman"/>
          <w:sz w:val="20"/>
        </w:rPr>
        <w:t xml:space="preserve">. Furnish to the Trustee written notice of the following promptly (and, in any event, within five (5) Business Days or such later date as may be agreed by the Controlling Parties) of an Officer of the Issuer obtaining actual knowledge thereof: </w:t>
      </w:r>
    </w:p>
    <w:p>
      <w:pPr>
        <w:pStyle w:val="TextBody"/>
        <w:bidi w:val="0"/>
        <w:spacing w:before="240" w:after="0"/>
        <w:jc w:val="left"/>
        <w:rPr>
          <w:rFonts w:ascii="Times New Roman" w:hAnsi="Times New Roman"/>
          <w:sz w:val="20"/>
        </w:rPr>
      </w:pPr>
      <w:r>
        <w:rPr>
          <w:rFonts w:ascii="Times New Roman" w:hAnsi="Times New Roman"/>
          <w:sz w:val="20"/>
        </w:rPr>
        <w:t xml:space="preserve">(a) any Default or Event of Default, specifying the nature and extent thereof and the corrective action (if any) taken or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any litigation or governmental proceeding pending against the Issuer or any of its Subsidiaries that could reasonably be expected to be determined adversely and, if so determined,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occurrence of any ERISA Event that could, when taken either alone or together with all such other ERISA Events, reasonably be expected to have a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(d) any other development that has resulted in,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Existence;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Do or cause to be done all things necessary to preserve, renew and maintain in full force and effect its legal existence, except as otherwise permitted under </w:t>
      </w:r>
      <w:r>
        <w:rPr>
          <w:rFonts w:ascii="Times New Roman" w:hAnsi="Times New Roman"/>
          <w:sz w:val="20"/>
          <w:u w:val="single"/>
        </w:rPr>
        <w:t>Sections 6.04</w:t>
      </w:r>
      <w:r>
        <w:rPr>
          <w:rFonts w:ascii="Times New Roman" w:hAnsi="Times New Roman"/>
          <w:sz w:val="20"/>
        </w:rPr>
        <w:t xml:space="preserve"> or </w:t>
      </w:r>
      <w:r>
        <w:rPr>
          <w:rFonts w:ascii="Times New Roman" w:hAnsi="Times New Roman"/>
          <w:sz w:val="20"/>
          <w:u w:val="single"/>
        </w:rPr>
        <w:t>6.05</w:t>
      </w:r>
      <w:r>
        <w:rPr>
          <w:rFonts w:ascii="Times New Roman" w:hAnsi="Times New Roman"/>
          <w:sz w:val="20"/>
        </w:rPr>
        <w:t xml:space="preserve"> or, in the case of any Restricted Subsidiary, where the failure to perform such obligations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Do or cause to be done all things reasonably necessary to obtain, preserve, renew, extend and keep in full force and effect the rights, licenses, permits, privileges, franchises, authorizations and Intellectual Property which are necessary and material to the conduct of its business (except where the failure to do so could not be reasonably expected to have a Material Adverse Effect); and comply with all applicable Requirements of Law and decrees and orders of any Governmental Authority applicable to it or to its business or property, except to the extent failure to comply therewith,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to the extent that the failure to do so would not, individually or in the aggregate, reasonably be expected to have a Material Adverse Effect, maintain, preserve and protect all of its properties and equipment material to the operation of its business in good working order, repair and condition, ordinary wear and tear excepted and casualty or condemnation excepted.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Keep its insurable property adequately insured at all times by financially sound and reputable insurers; maintain such other insurance, in each case, to such extent and against such risks as is customary with companies in the same or similar businesses operating in the same or similar locations, including flood insurance with respect to each Flood Hazard Property in compliance with the Flood Insurance Laws. Any such insurance (excluding business interruption insurance) maintained in the United States shall name the Collateral Agent as mortgagee, additional insured or loss payee, as applicable, in a commercially reasonable manner. </w:t>
      </w:r>
    </w:p>
    <w:p>
      <w:pPr>
        <w:pStyle w:val="TextBody"/>
        <w:bidi w:val="0"/>
        <w:spacing w:before="240" w:after="0"/>
        <w:jc w:val="left"/>
        <w:rPr>
          <w:rFonts w:ascii="Times New Roman" w:hAnsi="Times New Roman"/>
          <w:sz w:val="20"/>
        </w:rPr>
      </w:pPr>
      <w:r>
        <w:rPr>
          <w:rFonts w:ascii="Times New Roman" w:hAnsi="Times New Roman"/>
          <w:sz w:val="20"/>
        </w:rPr>
        <w:t xml:space="preserve">(b) The Note Parties shall use commercially reasonable efforts to cause all such insurance (except flood insurance, which shall comply with the Flood Insurance Laws as set forth in </w:t>
      </w:r>
      <w:r>
        <w:rPr>
          <w:rFonts w:ascii="Times New Roman" w:hAnsi="Times New Roman"/>
          <w:sz w:val="20"/>
          <w:u w:val="single"/>
        </w:rPr>
        <w:t>Section 5.06(a)</w:t>
      </w:r>
      <w:r>
        <w:rPr>
          <w:rFonts w:ascii="Times New Roman" w:hAnsi="Times New Roman"/>
          <w:sz w:val="20"/>
        </w:rPr>
        <w:t xml:space="preserve">) with respect to the Note Parties and property constituting Collateral to provide that no cancellation, material reduction in amount or material change in coverage thereof shall be effective until at least thirty (30) days after receipt by the Collateral Agent of written notice thereof (or if such cancellation is by reason of nonpayment of premium, at least ten (10) days’ prior written notice) (unless it is such insurer’s policy not to provide such a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Taxes</w:t>
      </w:r>
      <w:r>
        <w:rPr>
          <w:rFonts w:ascii="Times New Roman" w:hAnsi="Times New Roman"/>
          <w:sz w:val="20"/>
        </w:rPr>
        <w:t xml:space="preserve">. Pay and discharge promptly when due all Taxes imposed upon it or upon its income or profits or in respect of its property before the same shall become delinquent or in default; provided, that, such payment and discharge shall not be required with respect to any such Tax so long as (a) the validity or amount thereof shall be contested in good faith by appropriate proceedings and the applicable Group Member shall have set aside on its books adequate reserves or other appropriate provisions with respect thereto in accordance with GAAP (or any other applicable accounting standard) or (b) the failure to pay would not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any Employee Benefit Plan, comply in all respects with the applicable provisions of ERISA, the Code and applicable foreign law except where the failure to do so would not reasonably be expected to result in a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(b) furnish to the Trustee (i) as soon as reasonably practicable after, and in any event within ten (10) days (or such later date as may be agreed to by the Controlling Parties) after any Officer of any Group Member knows that any ERISA Event has occurred that, alone or together with any other ERISA Event, would reasonably be expected to result in liability of the Group Members which would reasonably be expected to have a Material Adverse Effect or the imposition of a Lien on any property of any Group Member, a statement of a Responsible Officer of the Issuer setting forth details as to such ERISA Event and the action, if any, that the Group Members propose to take with respect thereto, and (ii) upon reasonable request by the Trustee (acting at the direction of the Controlling Parties), copies of (A) each Schedule B (Actuarial Information) to the annual report (Form 5500 Series) filed by any Group Members with the IRS with respect to each Plan; (B) the most recent actuarial valuation report for each Plan; (C) all notices received by any Group Member from a Multiemployer Plan sponsor or any Governmental Authority concerning an ERISA Event; and (D) such other documents or governmental reports or filings relating to any Plan that is sponsored, maintained or contributed to by a Group Member, as the Trustee (acting at the direction of the Controlling Parties) shall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Maintaining Records; Access to Properties and Inspections</w:t>
      </w:r>
      <w:r>
        <w:rPr>
          <w:rFonts w:ascii="Times New Roman" w:hAnsi="Times New Roman"/>
          <w:sz w:val="20"/>
        </w:rPr>
        <w:t xml:space="preserve">. Maintain a system of accounting that enables Issuer to produce financial statements in accordance with GAAP. Each Group Member will permit any representatives designated by the Trustee (acting at the direction of the Controlling Parties) to visit during its regular business hours and with reasonable advance written notice thereof and inspect the financial records and the property of such Group Member at reasonable times up to one (1) time per calendar year (but without frequency limit during the continuance of an Event of Default) and to make extracts from and copies of such financial records, and permit any representatives designated by the Trustee (acting at the direction of the Controlling Parties) to discuss the affairs, finances, accounts and condition of any Group Member with the officers and employees thereof and advisors therefor (including independent accountants); </w:t>
      </w:r>
      <w:r>
        <w:rPr>
          <w:rFonts w:ascii="Times New Roman" w:hAnsi="Times New Roman"/>
          <w:i/>
          <w:sz w:val="20"/>
        </w:rPr>
        <w:t>provided</w:t>
      </w:r>
      <w:r>
        <w:rPr>
          <w:rFonts w:ascii="Times New Roman" w:hAnsi="Times New Roman"/>
          <w:sz w:val="20"/>
        </w:rPr>
        <w:t xml:space="preserve">, that, the Trustee shall give any Group Member an opportunity for its representatives to participate in any such discussions;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so long as no Event of Default has occurred and is then continuing, the Issuer shall not bear the cost of more than one such inspection per calendar year by the Trustee and Holders (or their respective representatives). Notwithstanding anything to the contrary in this </w:t>
      </w:r>
      <w:r>
        <w:rPr>
          <w:rFonts w:ascii="Times New Roman" w:hAnsi="Times New Roman"/>
          <w:sz w:val="20"/>
          <w:u w:val="single"/>
        </w:rPr>
        <w:t>Section 5.09</w:t>
      </w:r>
      <w:r>
        <w:rPr>
          <w:rFonts w:ascii="Times New Roman" w:hAnsi="Times New Roman"/>
          <w:sz w:val="20"/>
        </w:rPr>
        <w:t xml:space="preserve">, no Group Member will be required to disclose or permit the inspection or discussion of, any document, information or other matter (a) that constitutes confidential Intellectual Property, including trade secrets or other confidential proprietary information, (b) in respect of which disclosure to the Trustee or any Holder (or their respective representatives or contractors) is prohibited by Requirements of Law or any binding agreement (not entered into in contemplation hereof), or (c) that is subject to attorney client or similar privilege or constitutes attorney work product.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Use of Proceeds</w:t>
      </w:r>
      <w:r>
        <w:rPr>
          <w:rFonts w:ascii="Times New Roman" w:hAnsi="Times New Roman"/>
          <w:sz w:val="20"/>
        </w:rPr>
        <w:t xml:space="preserve">. Use the proceeds from the Initial Notes on the Closing Date to, directly or indirectly through one or more related transactions, finance (a) the Closing Date Refinancing, and (b) the payment of related fees, costs and expenses (including any upfront fees and original issue discount) related to the Transactions. Proceeds from any Additional Notes issued in accordance with the provisions of this Indenture may be used for working capital and general corporate purposes, including, without limitation, to finance Permitted Acquisitions and other Investments (including refinancing the existing Indebtedness of acquired businesses), Capital Expenditures, working capital and/or purchase price adjustments, Dividends and prepayments of, and other payments with respect to, Indebtedness (including, without limitation, Restricted Debt Payments), in each case permitted hereunder, for any other purposes not prohibited by this Indenture, and to pay related fees, costs and expenses in connection with any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Compliance with Environmental Laws; Environmental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reasonably be expected, individually or in the aggregate, to result in a Material Adverse Effect, (a) comply with all Environmental Laws and Environmental Permits applicable to each of its operations and Real Property; (b) obtain and renew all Environmental Permits applicable to each of its operations and owned Real Property and, to the extent any Group Member is required to obtain such Environmental Permits under the applicable lease or by Environmental Laws, leased Real Property; and (c) comply with all applicable orders of a Governmental Authority required of each of the Group Members by, and in accordance with, Environmental Laws; </w:t>
      </w:r>
      <w:r>
        <w:rPr>
          <w:rFonts w:ascii="Times New Roman" w:hAnsi="Times New Roman"/>
          <w:i/>
          <w:sz w:val="20"/>
        </w:rPr>
        <w:t>provided</w:t>
      </w:r>
      <w:r>
        <w:rPr>
          <w:rFonts w:ascii="Times New Roman" w:hAnsi="Times New Roman"/>
          <w:sz w:val="20"/>
        </w:rPr>
        <w:t xml:space="preserve">, that, no Group Member shall be required to comply with such orders to the extent that its obligation to do so is being contested in good faith and by proper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Additional Collateral; Additional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Additional Security</w:t>
      </w:r>
      <w:r>
        <w:rPr>
          <w:rFonts w:ascii="Times New Roman" w:hAnsi="Times New Roman"/>
          <w:sz w:val="20"/>
        </w:rPr>
        <w:t xml:space="preserve">. Subject to the terms of the Security Documents, with respect to any personal property acquired after the Closing Date by any Note Party that constitutes “Collateral” under any of the Security Documents or is intended to be subject to the Liens created by any Security Document but is not so subject to a Lien thereunder, but in any event subject to the terms, conditions and limitations thereunder, within sixty (60) days after the acquisition thereof, or such longer period as the Controlling Parties may approve, (i) execute and deliver to the Trustee and the Collateral Agent such amendments or supplements to the relevant Security Documents or such other New York law governed documents as are necessary (or as the Trustee or the Collateral Agent shall, acting at the direction of the Controlling Parties, reasonably request) to grant to the Collateral Agent, for its benefit and for the benefit of the other Secured Parties, a Lien under applicable U.S. state and federal law on such Collateral subject to no Liens other than Permitted Liens, and (ii) take all actions reasonably necessary to cause such Lien to be duly perfected to the extent required by such Security Document in accordance with all applicable U.S. state and federal law, including the filing of financing statements and intellectual property security agreements in such U.S. jurisdictions as may be reasonably requested by the Trustee or the Collateral Agent (in each case, acting at the direction of the Controlling Parties). The Issuer and the other Note Parties shall otherwise take such actions and execute and/or deliver to the Collateral Agent (or its non-fiduciary agent or designee pursuant to any Intercreditor Agreement) such New York law governed documents as the Trustee or the Collateral Agent (in each case, acting at the direction of the Controlling Parties) shall reasonably require to confirm the validity, perfection and priority of the Lien of the Security Documents on such after-acquired Collateral.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Subsidiaries</w:t>
      </w:r>
      <w:r>
        <w:rPr>
          <w:rFonts w:ascii="Times New Roman" w:hAnsi="Times New Roman"/>
          <w:sz w:val="20"/>
        </w:rPr>
        <w:t xml:space="preserve">. Subject to the terms of the Security Documents, upon the formation or acquisition of, or the redesignation of an Unrestricted Subsidiary to, a Restricted Subsidiary that is a Wholly Owned Domestic Subsidiary (excluding any Excluded Subsidiary) after the Closing Date (other than a merger Subsidiary formed in connection with a Permitted Acquisition so long as such merger Subsidiary is merged out of existence pursuant to such Permitted Acquisition, or otherwise merged out of existence or dissolved, within sixty (60) days of its formation (or such later date as permitted by the Controlling Parties in their sole discretion)) or upon any Excluded Subsidiary ceasing to constitute an Excluded Subsidiary, within sixty (60) days after such formation, acquisition, designation or cessation, or such longer period as the Controlling Parties may approve, the Issuer shall: </w:t>
      </w:r>
    </w:p>
    <w:p>
      <w:pPr>
        <w:pStyle w:val="TextBody"/>
        <w:bidi w:val="0"/>
        <w:spacing w:before="240" w:after="0"/>
        <w:jc w:val="left"/>
        <w:rPr>
          <w:rFonts w:ascii="Times New Roman" w:hAnsi="Times New Roman"/>
          <w:sz w:val="20"/>
        </w:rPr>
      </w:pPr>
      <w:r>
        <w:rPr>
          <w:rFonts w:ascii="Times New Roman" w:hAnsi="Times New Roman"/>
          <w:sz w:val="20"/>
        </w:rPr>
        <w:t xml:space="preserve">(i) deliver to the Collateral Agent the certificates, if any, representing all of the Equity Interests of such Wholly Owned Restricted Subsidiary that constitute Collateral and that are “certificated securities” (as defined in Article 8 of the UCC), together with undated Equity Interest powers or other appropriate instruments of transfer executed and delivered in blank by a duly authorized officer of the holder(s) of such Equity Interests, and all intercompany notes owing from such Wholly Owned Restricted Subsidiary to any Note Party required to be delivered pursuant to the Security Agreement or other applicable Security Document and not previously so delivered, together with instruments of transfer executed and delivered in blank by a duly authorized officer of such Note Party or Additional Guarantor, as applicable, and all other Collateral that is required to be delivered pursuant to the Security Agreements or other applicable Security Document and not previously so delivered;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cause any such new Wholly Owned Restricted Subsidiary (except Excluded Subsidiaries), (A) to execute and deliver a supplemental indenture substantially in the form attached hereto as </w:t>
      </w:r>
      <w:r>
        <w:rPr>
          <w:rFonts w:ascii="Times New Roman" w:hAnsi="Times New Roman"/>
          <w:sz w:val="20"/>
          <w:u w:val="single"/>
        </w:rPr>
        <w:t>Exhibit F</w:t>
      </w:r>
      <w:r>
        <w:rPr>
          <w:rFonts w:ascii="Times New Roman" w:hAnsi="Times New Roman"/>
          <w:sz w:val="20"/>
        </w:rPr>
        <w:t xml:space="preserve"> to become a Subsidiary Guarantor and a joinder agreement to the Security Agreement, and (B) to take all actions reasonably necessary to cause the Lien created on the Collateral (which shall exclude Excluded Property and be subject to the limitations set forth herein and the applicable Security Documents) by the applicable Security Documents to be duly perfected under U.S. federal and applicable state law to the extent required by such agreements in accordance with all applicable Requirements of Law, including the filing of financing statements and intellectual property security agreements in such U.S. jurisdictions as may be reasonably requested by the Trustee or the Collateral Agent (in each case, acting at the direction of the Controlling Parties); </w:t>
      </w:r>
      <w:r>
        <w:rPr>
          <w:rFonts w:ascii="Times New Roman" w:hAnsi="Times New Roman"/>
          <w:i/>
          <w:sz w:val="20"/>
        </w:rPr>
        <w:t>provided</w:t>
      </w:r>
      <w:r>
        <w:rPr>
          <w:rFonts w:ascii="Times New Roman" w:hAnsi="Times New Roman"/>
          <w:sz w:val="20"/>
        </w:rPr>
        <w:t xml:space="preserve">, that, (x) no pledge of Excluded Equity Interests shall be required, and (y) no perfection actions by “control” (except with respect to Equity Interests, certain debt instruments, and any account that is required to be subject to a control agreement pursuant to the ABL Documents), landlord waivers or collateral access agreements (except with respect to any location required to be subject to a landlord waiver or collateral access agreement pursuant to the ABL Documents) shall be required to be entered into.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Real Property Collateral</w:t>
      </w:r>
      <w:r>
        <w:rPr>
          <w:rFonts w:ascii="Times New Roman" w:hAnsi="Times New Roman"/>
          <w:sz w:val="20"/>
        </w:rPr>
        <w:t>. Upon (i) the acquisition or lease by any Group Member of any Material Real Property, (ii) the formation or acquisition of, or the redesignation of an Unrestricted Subsidiary as, a Restricted Subsidiary and a Group Member, which Group Member owns or leases one or more Material Real Properties or (iii) any Excluded Subsidiary ceasing to be an Excluded Subsidiary, which Subsidiary is a Group Member that owns or leases one or more Material Real Properties, on or before the date that is sixty (60) days after the date on which the relevant event occurs (or such longer period as the Controlling Parties may reasonably agree), the Issuer shall cause such Group Member to take all such actions and execute and deliver, or cause to be executed and delivered, all such applicable Mortgages covering, among other things, such interest in real property (</w:t>
      </w:r>
      <w:r>
        <w:rPr>
          <w:rFonts w:ascii="Times New Roman" w:hAnsi="Times New Roman"/>
          <w:i/>
          <w:sz w:val="20"/>
        </w:rPr>
        <w:t>provided</w:t>
      </w:r>
      <w:r>
        <w:rPr>
          <w:rFonts w:ascii="Times New Roman" w:hAnsi="Times New Roman"/>
          <w:sz w:val="20"/>
        </w:rPr>
        <w:t xml:space="preserve">, that, to the extent any property to be subject to a Mortgage is located in a jurisdiction which imposes mortgage recording taxes, intangibles tax, documentary tax or similar tax, if such tax will be owed on the entire amount of the indebtedness evidenced hereby, to the extent permitted by applicable law, the amount secured by the Mortgage shall be limited to the fair market value of the Material Real Property at the time the Mortgage is entered into if such limitation results in such tax being calculated based upon such fair market value), customary Mortgage Policies and endorsements thereto and to the extent available in the applicable jurisdiction at reasonable cost as determined by the Issuer based on readily available information, appraisals (solely to the extent required under FIRREA), Phase I environmental assessments (to the extent in possession of the Issuer), new surveys or existing surveys with no change affidavits, in each case sufficient for the title insurer to remove the standard survey exception and issue full survey coverage and the endorsements referenced above, “Life-of Loan” Federal Emergency Management Agency Standard Flood Hazard Determinations under Regulation H of the Federal Reserve Board (together with evidence of flood insurance for any Material Real Property that constitutes a Flood Hazard Property located in a flood hazard area to the extent required by the Flood Insurance Laws, and in accordance with </w:t>
      </w:r>
      <w:r>
        <w:rPr>
          <w:rFonts w:ascii="Times New Roman" w:hAnsi="Times New Roman"/>
          <w:sz w:val="20"/>
          <w:u w:val="single"/>
        </w:rPr>
        <w:t>Section 5.06(a)</w:t>
      </w:r>
      <w:r>
        <w:rPr>
          <w:rFonts w:ascii="Times New Roman" w:hAnsi="Times New Roman"/>
          <w:sz w:val="20"/>
        </w:rPr>
        <w:t xml:space="preserve"> hereof), customary legal opinions, certificates and documentation that the Trustee (acting at the direction of the Controlling Parties) may reasonably request to create in favor of the Collateral Agent, for the benefit of the Secured Parties, a valid and perfected lien and security interest in such Material Real Property, with each of the foregoing documents in form reasonably satisfactory to the Collateral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Security Interests; Further Assurances</w:t>
      </w:r>
      <w:r>
        <w:rPr>
          <w:rFonts w:ascii="Times New Roman" w:hAnsi="Times New Roman"/>
          <w:sz w:val="20"/>
        </w:rPr>
        <w:t xml:space="preserve">. Promptly upon reasonable request by the Trustee or the Collateral Agent (in each case, acting at the direction of the Controlling Parties) (a) correct any material defect or error that may be discovered in the execution, acknowledgment, filing or recordation of any Security Document or other document or instrument relating to any Collateral, and (b) do, execute, acknowledge, deliver, record, re-record, file, re-file, register and re-register any and all such further acts, deeds, certificates, assurances and other instruments as are necessary (or as the Trustee or the Collateral Agent may, acting at the direction of the Controlling Parties, reasonably request) from time to time in order to carry out more effectively the purposes of this Indenture and the Security Documents; </w:t>
      </w:r>
      <w:r>
        <w:rPr>
          <w:rFonts w:ascii="Times New Roman" w:hAnsi="Times New Roman"/>
          <w:i/>
          <w:sz w:val="20"/>
        </w:rPr>
        <w:t>provided</w:t>
      </w:r>
      <w:r>
        <w:rPr>
          <w:rFonts w:ascii="Times New Roman" w:hAnsi="Times New Roman"/>
          <w:sz w:val="20"/>
        </w:rPr>
        <w:t xml:space="preserve">, that, notwithstanding anything else contained herein or in any other Note Document to the contrary, (i) the foregoing shall not apply to any Excluded Subsidiary or Property of any Excluded Subsidiary or any Excluded Property or any Excluded Equity Interests, (ii) any such documents and deliverables shall be governed by New York law and (iii) no perfection actions by “control” (except with respect to Equity Interests, certain debt instruments, and any account that is required to be subject to a control agreement pursuant to the ABL Documents) or landlord waivers, estoppels or collateral access letters shall be required to be entered into hereunder or under any other Note Document (except with respect to any location required to be subject to a landlord waiver or collateral access agreement pursuant to the ABL Documents). Notwithstanding the foregoing or anything else herein or in any other Note Document to the contrary, in no event shall (A) the assets of any CFC (including the Equity Interests of any Subsidiary thereof) constitute security or secure, or such assets or the proceeds of such assets be required to be available for, payment of the Obligations, (B) more than sixty-five percent (65%) of the Voting Stock of and one hundred percent (100%) of the Equity Interests that are not Voting Stock of any CFC Holding Company or CFC, in each case, owned directly by a Note Party be required to be pledged to secure the Obligations or (C) any Equity Interests of any Subsidiary directly or indirectly owned by any CFC be required to be pledged to secure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Maintenance of Ratings</w:t>
      </w:r>
      <w:r>
        <w:rPr>
          <w:rFonts w:ascii="Times New Roman" w:hAnsi="Times New Roman"/>
          <w:sz w:val="20"/>
        </w:rPr>
        <w:t xml:space="preserve">. Use commercially reasonable efforts to at all times maintain a public or private rating (but not any specific rating) in respect of the Notes, and public corporate family ratings, from at least one of any of S&amp;P, Moody’s or Fitch. The fees and expenses of any ratings agency and all other costs incurred in connection with obtaining, affirming or appealing a rating shall be borne exclusively by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Compliance with Law</w:t>
      </w:r>
      <w:r>
        <w:rPr>
          <w:rFonts w:ascii="Times New Roman" w:hAnsi="Times New Roman"/>
          <w:sz w:val="20"/>
        </w:rPr>
        <w:t xml:space="preserve">. Comply with all Requirements of Law and all orders, writs, injunctions and decrees applicable to the Issuer or any of its respective Restricted Subsidiaries or to their business or property, except to the extent that the failure to comply therewith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Anti-Terrorism; Sanctions; Anti-Corruption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Comply (and cause each of their Subsidiaries to comply) in all material respects with all applicable Sanctions, anti-corruption laws and any applicable Requirement of Law relating to terrorism or money-laundering (“</w:t>
      </w:r>
      <w:r>
        <w:rPr>
          <w:rFonts w:ascii="Times New Roman" w:hAnsi="Times New Roman"/>
          <w:b/>
          <w:sz w:val="20"/>
        </w:rPr>
        <w:t>Anti-Terrorism Laws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Not redeem the Notes, or make any other payment to any Holder, using funds or properties of the Issuer or any of its respective Restricted Subsidiaries that are, to the knowledge of the Issuer, the property of any Person that is the subject or target of applicable Sanctions or that are beneficially owned, directly or indirectly, by any Person that is the subject or target of applicable Sanctions, in each case, that would cause a violation of Anti-Terrorism Laws or applicable Sanctions or any other applicable Requirement of Law by any Person and (ii) not permit any Person that is the subject of Sanctions to have, to the knowledge of the Issuer, any direct or indirect interest, in the Issuer or any of its respective Subsidiaries, with the result that the investment in the Issuer or any of its respective Subsidiaries (whether directly or indirectly) or the Notes purchased by the Holders would be in violation of any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(c) Each Note Party will, and will cause each of its Subsidiaries to, maintain in effect and enforce policies and procedures that are reasonably designed to ensure compliance by the Note Parties, its Subsidiaries and their respective directors, officers, employees and agents with the FCPA, other applicable anti-corruption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DIP Financing Right of First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Issuer or any of its Subsidiaries pursues any debtor-in-possession financing in connection with any case, proceeding or other action under any Debtor Relief Law or any Insolvency Event involving the Issuer or any of its Subsidiaries that is proposed to be secured by any Notes Priority Collateral (such financing, a “</w:t>
      </w:r>
      <w:r>
        <w:rPr>
          <w:rFonts w:ascii="Times New Roman" w:hAnsi="Times New Roman"/>
          <w:sz w:val="20"/>
          <w:u w:val="single"/>
        </w:rPr>
        <w:t>DIP Financing</w:t>
      </w:r>
      <w:r>
        <w:rPr>
          <w:rFonts w:ascii="Times New Roman" w:hAnsi="Times New Roman"/>
          <w:sz w:val="20"/>
        </w:rPr>
        <w:t>”) prior to the Maturity Date, the Issuer shall, and shall cause each applicable Subsidiary to, offer the Holders the opportunity (which notice may be delivered by electronic means reasonably designed to provide notice to the Holders) and affording them a period of not less than 10 Business Days (or such shorter period as may be required by exigent circumstances, including the need to obtain DIP financing on an expedited basis) to commit to provide such DIP Financing on reasonable terms (such offer, a “</w:t>
      </w:r>
      <w:r>
        <w:rPr>
          <w:rFonts w:ascii="Times New Roman" w:hAnsi="Times New Roman"/>
          <w:sz w:val="20"/>
          <w:u w:val="single"/>
        </w:rPr>
        <w:t>DIP Right of First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Any DIP Right of First Offer shall be subject in all respects to (i) any fiduciary duties of the Issuer, such Subsidiary or any of their respective directors, managers, officers or other fiduciaries, (ii) any market check or other process conducted by or on behalf of the Issuer or such Subsidiary in connection with such DIP Financing, (iii) the terms and provisions of the ABL/Note Intercreditor Agreement, any other applicable Intercreditor Agreement and the Security Documents, including without limitation the relative lien priorities, application of proceeds, no-contest, adequate protection, DIP priming consent, cash collateral, enforcement and other provisions contained therein, (iv) any necessary approval of a court of competent jurisdiction, and (v) compliance with applicable securities laws and any other applicable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w:t>
      </w:r>
      <w:r>
        <w:rPr>
          <w:rFonts w:ascii="Times New Roman" w:hAnsi="Times New Roman"/>
          <w:sz w:val="20"/>
          <w:u w:val="single"/>
        </w:rPr>
        <w:t>Section 5.17</w:t>
      </w:r>
      <w:r>
        <w:rPr>
          <w:rFonts w:ascii="Times New Roman" w:hAnsi="Times New Roman"/>
          <w:sz w:val="20"/>
        </w:rPr>
        <w:t xml:space="preserve"> or any other Note Document, neither the Issuer nor any Subsidiary shall be required to accept, support, seek approval of or consummate any proposal, commitment or other offer from any Holder or any Affiliate thereof to provide any DIP Financing if the Issuer or such Subsidiary determines in its sole and absolute discretion (exercised in good faith) that (i) an alternative financing proposal is on better or otherwise more favorable terms (including but not limited to pricing, fees, covenants, milestones, governance rights, or other terms), (ii) an alternative financing proposal is more likely to be approved by the applicable court or to be consummated on a more timely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acceptance of such alternative financing proposal is otherwise in the best interests of the Issuer, such Subsidiary or their respective estates, or (iv) such proposal is not reasonably likely to be consummated. Issuer’s or any Subsidiary’s good faith determination under this </w:t>
      </w:r>
      <w:r>
        <w:rPr>
          <w:rFonts w:ascii="Times New Roman" w:hAnsi="Times New Roman"/>
          <w:sz w:val="20"/>
          <w:u w:val="single"/>
        </w:rPr>
        <w:t>Section 5.17(c)</w:t>
      </w:r>
      <w:r>
        <w:rPr>
          <w:rFonts w:ascii="Times New Roman" w:hAnsi="Times New Roman"/>
          <w:sz w:val="20"/>
        </w:rPr>
        <w:t xml:space="preserve"> shall be conclusive and binding, and no Holder shall have any claim against the Issuer, any Subsidiary, or any of their respective directors, managers, officers, agents or other representatives arising from the Issuer’s or any Subsidiary’s exercise of such discretion. </w:t>
      </w:r>
    </w:p>
    <w:p>
      <w:pPr>
        <w:pStyle w:val="TextBody"/>
        <w:bidi w:val="0"/>
        <w:spacing w:before="240" w:after="0"/>
        <w:jc w:val="left"/>
        <w:rPr>
          <w:rFonts w:ascii="Times New Roman" w:hAnsi="Times New Roman"/>
          <w:sz w:val="20"/>
        </w:rPr>
      </w:pPr>
      <w:r>
        <w:rPr>
          <w:rFonts w:ascii="Times New Roman" w:hAnsi="Times New Roman"/>
          <w:sz w:val="20"/>
        </w:rPr>
        <w:t xml:space="preserve">(d) If any Holder is provided a DIP Right of First Offer and the Issuer accepts such Holder’s proposal, then each Holder shall be permitted, and each Holder agrees to permit each other Holder, to participate in such DIP Financing on a pro rata basis in accordance with the aggregate principal amount of Initial Notes held by such Holder relative to the aggregate principal amount of Initial Notes held by all Holders electing to participate in such DIP Financing, on the same terms and subject to the same conditions applicable to the participating Holders or their respective Affiliates; </w:t>
      </w:r>
      <w:r>
        <w:rPr>
          <w:rFonts w:ascii="Times New Roman" w:hAnsi="Times New Roman"/>
          <w:i/>
          <w:sz w:val="20"/>
        </w:rPr>
        <w:t>provided</w:t>
      </w:r>
      <w:r>
        <w:rPr>
          <w:rFonts w:ascii="Times New Roman" w:hAnsi="Times New Roman"/>
          <w:sz w:val="20"/>
        </w:rPr>
        <w:t xml:space="preserve"> that (x) each such Holder shall satisfy any eligibility, funding, documentation, regulatory, securities law, know-your-customer, tax, confidentiality, syndication, allocation, bankruptcy court approval and other conditions applicable to lenders or participants generally in such DIP Financing, (y) such Holder shall have delivered a binding, irrevocable commitment (in form and substance satisfactory to the Issuer in its reasonable discretion) within the time period specified in the applicable notice, and (z) any failure by such Holder to timely provide such commitment under </w:t>
      </w:r>
      <w:r>
        <w:rPr>
          <w:rFonts w:ascii="Times New Roman" w:hAnsi="Times New Roman"/>
          <w:sz w:val="20"/>
          <w:u w:val="single"/>
        </w:rPr>
        <w:t>Section 5.17(d)(y)</w:t>
      </w:r>
      <w:r>
        <w:rPr>
          <w:rFonts w:ascii="Times New Roman" w:hAnsi="Times New Roman"/>
          <w:sz w:val="20"/>
        </w:rPr>
        <w:t xml:space="preserve"> or to fund its committed amount when due shall automatically and irrevocably forfeit such Holder’s participation rights under this </w:t>
      </w:r>
      <w:r>
        <w:rPr>
          <w:rFonts w:ascii="Times New Roman" w:hAnsi="Times New Roman"/>
          <w:sz w:val="20"/>
          <w:u w:val="single"/>
        </w:rPr>
        <w:t>Section 5.17(d)</w:t>
      </w:r>
      <w:r>
        <w:rPr>
          <w:rFonts w:ascii="Times New Roman" w:hAnsi="Times New Roman"/>
          <w:sz w:val="20"/>
        </w:rPr>
        <w:t xml:space="preserve"> with respect to such DIP Financing and any subsequent DIP Financing. </w:t>
      </w:r>
    </w:p>
    <w:p>
      <w:pPr>
        <w:pStyle w:val="TextBody"/>
        <w:bidi w:val="0"/>
        <w:spacing w:before="240" w:after="0"/>
        <w:jc w:val="left"/>
        <w:rPr>
          <w:rFonts w:ascii="Times New Roman" w:hAnsi="Times New Roman"/>
          <w:sz w:val="20"/>
        </w:rPr>
      </w:pPr>
      <w:r>
        <w:rPr>
          <w:rFonts w:ascii="Times New Roman" w:hAnsi="Times New Roman"/>
          <w:sz w:val="20"/>
        </w:rPr>
        <w:t xml:space="preserve">(e) For the avoidance of doubt, nothing in this </w:t>
      </w:r>
      <w:r>
        <w:rPr>
          <w:rFonts w:ascii="Times New Roman" w:hAnsi="Times New Roman"/>
          <w:sz w:val="20"/>
          <w:u w:val="single"/>
        </w:rPr>
        <w:t>Section 5.17</w:t>
      </w:r>
      <w:r>
        <w:rPr>
          <w:rFonts w:ascii="Times New Roman" w:hAnsi="Times New Roman"/>
          <w:sz w:val="20"/>
        </w:rPr>
        <w:t xml:space="preserve"> shall (i) limit the ability of the Issuer or any Subsidiary to use cash collateral (as defined in section 363(a) of the Bankruptcy Code) or obtain financing under section 364 of the Bankruptcy Code (or any similar provision of any applicable Debtor Relief Law) from any source (including any Holder or any third party) at any time, whether or not a DIP Right of First Offer has been provided, (ii) create any obligation of the Issuer or any Subsidiary to pursue any DIP Financing, (iii) limit any other rights or remedies of the Issuer or any Subsidiary under applicable law, or (v) be construed to create any rights in any Holder with respect to cash collateral or adequate protection.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of the Note Parties warrants, covenants and agrees that it will not, nor will permit any of its Restricted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w:t>
      </w:r>
      <w:r>
        <w:rPr>
          <w:rFonts w:ascii="Times New Roman" w:hAnsi="Times New Roman"/>
          <w:sz w:val="20"/>
        </w:rPr>
        <w:t xml:space="preserve">. Incur, create, assume or permit to exist, directly or indirectly, any Indebtedness, except: </w:t>
      </w:r>
    </w:p>
    <w:p>
      <w:pPr>
        <w:pStyle w:val="TextBody"/>
        <w:bidi w:val="0"/>
        <w:spacing w:before="240" w:after="0"/>
        <w:jc w:val="left"/>
        <w:rPr>
          <w:rFonts w:ascii="Times New Roman" w:hAnsi="Times New Roman"/>
          <w:sz w:val="20"/>
        </w:rPr>
      </w:pPr>
      <w:r>
        <w:rPr>
          <w:rFonts w:ascii="Times New Roman" w:hAnsi="Times New Roman"/>
          <w:sz w:val="20"/>
        </w:rPr>
        <w:t xml:space="preserve">(a) Indebtedness incurred under this Indenture and the other Note Documents (but other than any Additional Notes), Note Refinancing Indebtedness, any Permitted Additional Debt and, in each case, any Permitted Refinancing thereof (including, without duplication, all premiums (if any), interest (including post-petition interest and payment in kind interest, accretion or amortization of original issue discount, fees, expenses and charges, in each case, with respect to Indebtedness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Indebtedness in existence on the Closing Date and, with respect to any such Indebtedness in excess of $2,500,000 in aggregate principal amount, set forth on </w:t>
      </w:r>
      <w:r>
        <w:rPr>
          <w:rFonts w:ascii="Times New Roman" w:hAnsi="Times New Roman"/>
          <w:sz w:val="20"/>
          <w:u w:val="single"/>
        </w:rPr>
        <w:t>Schedule 6.01(b)</w:t>
      </w:r>
      <w:r>
        <w:rPr>
          <w:rFonts w:ascii="Times New Roman" w:hAnsi="Times New Roman"/>
          <w:sz w:val="20"/>
        </w:rPr>
        <w:t xml:space="preserve"> and (ii) Permitted Refinancings thereof; </w:t>
      </w:r>
    </w:p>
    <w:p>
      <w:pPr>
        <w:pStyle w:val="TextBody"/>
        <w:bidi w:val="0"/>
        <w:spacing w:before="240" w:after="0"/>
        <w:jc w:val="left"/>
        <w:rPr>
          <w:rFonts w:ascii="Times New Roman" w:hAnsi="Times New Roman"/>
          <w:sz w:val="20"/>
        </w:rPr>
      </w:pPr>
      <w:r>
        <w:rPr>
          <w:rFonts w:ascii="Times New Roman" w:hAnsi="Times New Roman"/>
          <w:sz w:val="20"/>
        </w:rPr>
        <w:t xml:space="preserve">(c) Indebtedness incurred under the ABL Documents as in effect on the date hereof (including any increase to the commitments thereunder after the Closing Date pursuant to Article III of the ABL Credit Agreement (as in effect on the Closing Date)) in an amount not to exceed $160,000,000, or Permitted Refinancing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(d) additional Pari Passu Notes Lien Indebtedness in an aggregate principal amount (including any other then-outstanding Pari Passu Notes Lien Indebtedness (other than the Notes)) so long as (i) for the period having commenced on the Closing Date and ended on the date that is March 12, 2026, (x) on a Pro Forma Basis immediately after giving effect to each such incurrence of any such Pari Passu Notes Lien Indebtedness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the Total Net Leverage Ratio as of the Applicable Date of Determination and for the applicable Test Period is not greater than the Total Net Leverage Ratio immediately prior to the incurrence of such Pari Passu Notes Lien Indebtedness and (y) the principal amount thereof, together with the principal amount of any Permitted Additional Debt, does not exceed the Specified Additional Debt Cap, (ii) thereafter, (x) on a Pro Forma Basis immediately after giving effect to each such incurrence of any such Pari Passu Notes Lien Indebtedness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the Total Net Leverage Ratio as of the Applicable Date of Determination and for the applicable Test Period is not greater than 3.00:1.00 and (y) the principal amount thereof, together with the principal amount of any Permitted Additional Debt, does not exceed an amount equal to the unutilized portion of the Maximum Additional Debt Amount (it being understood and agreed that any Pari Passu Notes Lien Indebtedness incurred in reliance on clause (i) above shall not reduce the Maximum Additional Debt Amount) and (iii) in each case, the opportunity to commit to provide any Pari Passu Notes Lien Indebtedness shall be offered by the Issuer first to each of the existing Holders on a pro rata basis based on their holdings of then issued Notes and, to the extent that any existing Holder has not agreed or declared its willingness in writing to provide such Pari Passu Notes Lien Indebtedness within ten (10) Business Days after receiving such offer from the Issuer, on the terms specified by the Issuer or any arranger of such Pari Passu Notes Lien Indebtedness, after being provided a bona fide opportunity to do so, the Issuer may then offer such opportunity to provide that portion of such Pari Passu Notes Lien Indebtedness to any other Person (which may include existing Holders) (it being understood that any existing Holder approached to provide all or a portion of such Pari Passu Notes Lien Indebtedness may elect or decline, in its sole discretion, to provide such Pari Passu Notes Lien Indebtedness);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in respect of Purchase Money Obligations or Capital Lease Obligations, Indebtedness incurred in connection with financing Real Property (regardless of when initially acquired) and Indebtedness incurred in connection with Sale Leaseback Transactions, and any Permitted Refinancings of any of the foregoing, in an aggregate amount for all such Indebtedness under this </w:t>
      </w:r>
      <w:r>
        <w:rPr>
          <w:rFonts w:ascii="Times New Roman" w:hAnsi="Times New Roman"/>
          <w:sz w:val="20"/>
          <w:u w:val="single"/>
        </w:rPr>
        <w:t>clause (e)</w:t>
      </w:r>
      <w:r>
        <w:rPr>
          <w:rFonts w:ascii="Times New Roman" w:hAnsi="Times New Roman"/>
          <w:sz w:val="20"/>
        </w:rPr>
        <w:t xml:space="preserve"> not to exceed, at any time outstanding, $85,000,000;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Indebtedness in respect of (i) appeal bonds or similar instruments and (ii) payment, bid, performance or surety bonds, or other similar bonds, completion guarantees, pension guarantees, or similar instruments, workers’ compensation claims, health, disability or other employee benefits and self-insurance obligations, in each case listed under this </w:t>
      </w:r>
      <w:r>
        <w:rPr>
          <w:rFonts w:ascii="Times New Roman" w:hAnsi="Times New Roman"/>
          <w:sz w:val="20"/>
          <w:u w:val="single"/>
        </w:rPr>
        <w:t>clause (ii)</w:t>
      </w:r>
      <w:r>
        <w:rPr>
          <w:rFonts w:ascii="Times New Roman" w:hAnsi="Times New Roman"/>
          <w:sz w:val="20"/>
        </w:rPr>
        <w:t xml:space="preserve">, in the ordinary course of business, and including guarantees or obligations of any Group Member with respect to letters of credit and bankers acceptances supporting such appeal, payment, bid, performance or surety or other similar bonds, completion guarantees, pension guarantees, or similar instruments, workers’ compensation claims, health, disability or other employee benefits and self-insurance obligations (in each case other than for an obligation for money borrowed); </w:t>
      </w:r>
    </w:p>
    <w:p>
      <w:pPr>
        <w:pStyle w:val="TextBody"/>
        <w:bidi w:val="0"/>
        <w:spacing w:before="240" w:after="0"/>
        <w:jc w:val="left"/>
        <w:rPr>
          <w:rFonts w:ascii="Times New Roman" w:hAnsi="Times New Roman"/>
          <w:sz w:val="20"/>
        </w:rPr>
      </w:pPr>
      <w:r>
        <w:rPr>
          <w:rFonts w:ascii="Times New Roman" w:hAnsi="Times New Roman"/>
          <w:sz w:val="20"/>
        </w:rPr>
        <w:t xml:space="preserve">(g) (i) Contingent Obligations in respect of Indebtedness otherwise permitted to be incurred by such Group Member under this </w:t>
      </w:r>
      <w:r>
        <w:rPr>
          <w:rFonts w:ascii="Times New Roman" w:hAnsi="Times New Roman"/>
          <w:sz w:val="20"/>
          <w:u w:val="single"/>
        </w:rPr>
        <w:t>Section 6.01</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any such Indebtedness is subordinated (including as to lien or collateral priority) to the Obligations, such Contingent Obligation shall be subordinated on terms at least as favorable to the Holders) and (ii) Indebtedness constituting Investments permitted under </w:t>
      </w:r>
      <w:r>
        <w:rPr>
          <w:rFonts w:ascii="Times New Roman" w:hAnsi="Times New Roman"/>
          <w:sz w:val="20"/>
          <w:u w:val="single"/>
        </w:rPr>
        <w:t>Section 6.03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Indebtedness arising from the honoring by a bank or other financial institution of a check, draft or similar instrument inadvertently (except in the case of daylight overdrafts) drawn against insufficient funds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arising in connection with the endorsement of instruments for deposit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Indebtedness in respect of netting services or overdraft protection or otherwise in connection with deposit or securities accounts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Indebtedness consisting of (i) the financing of insurance premiums or (ii) take or pay obligations contained in supply arrangements,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(l) subject to </w:t>
      </w:r>
      <w:r>
        <w:rPr>
          <w:rFonts w:ascii="Times New Roman" w:hAnsi="Times New Roman"/>
          <w:sz w:val="20"/>
          <w:u w:val="single"/>
        </w:rPr>
        <w:t>Section 6.03(f)</w:t>
      </w:r>
      <w:r>
        <w:rPr>
          <w:rFonts w:ascii="Times New Roman" w:hAnsi="Times New Roman"/>
          <w:sz w:val="20"/>
        </w:rPr>
        <w:t xml:space="preserve">, intercompany Indebtedness owing (i) by and among the Note Parties, (ii) by Restricted Subsidiaries that are not Note Parties to Restricted Subsidiaries that are not Note Parties, (iii) by Restricted Subsidiaries that are not Note Parties to Note Parties, and (iv) by Note Parties to Subsidiaries that are not Note Parties; </w:t>
      </w:r>
      <w:r>
        <w:rPr>
          <w:rFonts w:ascii="Times New Roman" w:hAnsi="Times New Roman"/>
          <w:i/>
          <w:sz w:val="20"/>
        </w:rPr>
        <w:t>provided</w:t>
      </w:r>
      <w:r>
        <w:rPr>
          <w:rFonts w:ascii="Times New Roman" w:hAnsi="Times New Roman"/>
          <w:sz w:val="20"/>
        </w:rPr>
        <w:t xml:space="preserve">, that, Indebtedness under this </w:t>
      </w:r>
      <w:r>
        <w:rPr>
          <w:rFonts w:ascii="Times New Roman" w:hAnsi="Times New Roman"/>
          <w:sz w:val="20"/>
          <w:u w:val="single"/>
        </w:rPr>
        <w:t>clause (l)(iv)</w:t>
      </w:r>
      <w:r>
        <w:rPr>
          <w:rFonts w:ascii="Times New Roman" w:hAnsi="Times New Roman"/>
          <w:sz w:val="20"/>
        </w:rPr>
        <w:t xml:space="preserve"> shall be unsecured and shall be subordinated to the Obligations pursuant to the terms of the Intercompany Note or other subordination terms approved by the Controlling Parties; </w:t>
      </w:r>
    </w:p>
    <w:p>
      <w:pPr>
        <w:pStyle w:val="TextBody"/>
        <w:bidi w:val="0"/>
        <w:spacing w:before="240" w:after="0"/>
        <w:jc w:val="left"/>
        <w:rPr>
          <w:rFonts w:ascii="Times New Roman" w:hAnsi="Times New Roman"/>
          <w:sz w:val="20"/>
        </w:rPr>
      </w:pPr>
      <w:r>
        <w:rPr>
          <w:rFonts w:ascii="Times New Roman" w:hAnsi="Times New Roman"/>
          <w:sz w:val="20"/>
        </w:rPr>
        <w:t xml:space="preserve">(m) unsecured Subordinated Indebtedness owing to employees, former employees, officers, former officers, directors, former directors (or any spouses, ex-spouses, or estates of any of the foregoing) of any Group Member in connection with the repurchase of Equity Interests of Issuer or any of its direct or indirect parent companies issued to any of the aforementioned employees, former employees, officers, former officers, directors, former directors (or any spouses, ex-spouses, or estates of any of the foregoing) of any Group Member not to exceed $5,000,000 for the most recently ended Test Period, in each case, at any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Indebtedness arising as a direct result of judgments, orders, awards or decrees against the Issuer or any of its Restricted Subsidiaries, in each case not constituting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(o) unsecured Indebtedness representing any Taxes to the extent such Taxes are being contested by any Group Member in good faith by appropriate proceedings and adequate reserves are being maintained by the Group Members in accordance with GAAP (or any other applicable accounting standard); </w:t>
      </w:r>
    </w:p>
    <w:p>
      <w:pPr>
        <w:pStyle w:val="TextBody"/>
        <w:bidi w:val="0"/>
        <w:spacing w:before="240" w:after="0"/>
        <w:jc w:val="left"/>
        <w:rPr>
          <w:rFonts w:ascii="Times New Roman" w:hAnsi="Times New Roman"/>
          <w:sz w:val="20"/>
        </w:rPr>
      </w:pPr>
      <w:r>
        <w:rPr>
          <w:rFonts w:ascii="Times New Roman" w:hAnsi="Times New Roman"/>
          <w:sz w:val="20"/>
        </w:rPr>
        <w:t xml:space="preserve">(p) Indebtedness assumed in connection with any Permitted Acquisition or other permitted Investment; </w:t>
      </w:r>
      <w:r>
        <w:rPr>
          <w:rFonts w:ascii="Times New Roman" w:hAnsi="Times New Roman"/>
          <w:i/>
          <w:sz w:val="20"/>
        </w:rPr>
        <w:t>provided</w:t>
      </w:r>
      <w:r>
        <w:rPr>
          <w:rFonts w:ascii="Times New Roman" w:hAnsi="Times New Roman"/>
          <w:sz w:val="20"/>
        </w:rPr>
        <w:t xml:space="preserve">, that, (A) such Indebtedness (i) was not incurred in contemplation of such Permitted Acquisition or other such Investment, (ii) shall not be secured by any assets other than assets acquired in such Permitted Acquisition or other Investment and (iii) shall not be guaranteed by any Note Party (other than a person acquired in such Permitted Acquisition or any other person who merges with or that acquires the assets of such person in connection with the Permitted Acquisition) and (B) the Issuer shall be in pro forma compliance with the Financial Covenant set forth in </w:t>
      </w:r>
      <w:r>
        <w:rPr>
          <w:rFonts w:ascii="Times New Roman" w:hAnsi="Times New Roman"/>
          <w:sz w:val="20"/>
          <w:u w:val="single"/>
        </w:rPr>
        <w:t>Section 6.08(a)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(q) Indebtedness of Immaterial Subsidiaries in an aggregate principal amount not to exceed $1,500,000 for the most recently ended Test Period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(r) Indebtedness of Restricted Subsidiaries that are not Note Parties (but only to the extent non-recourse to the Note Parties) and any joint ventures, and any guarantees thereof by Restricted Subsidiaries that are not Note Parties, in aggregate principal amount not to exceed, when aggregated with the aggregate amount of Indebtedness incurred by Restricted Subsidiaries that are not Note Parties pursuant to </w:t>
      </w:r>
      <w:r>
        <w:rPr>
          <w:rFonts w:ascii="Times New Roman" w:hAnsi="Times New Roman"/>
          <w:sz w:val="20"/>
          <w:u w:val="single"/>
        </w:rPr>
        <w:t>Section 6.01(t)</w:t>
      </w:r>
      <w:r>
        <w:rPr>
          <w:rFonts w:ascii="Times New Roman" w:hAnsi="Times New Roman"/>
          <w:sz w:val="20"/>
        </w:rPr>
        <w:t xml:space="preserve"> then outstanding, the greater of $5,000,000 and ten percent (10%) of Consolidated EBITDA for the most recently ended Test Period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(s) the Specified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(t) Junior Secured Indebtedness and Unsecured Indebtedness, in each case incurred for any purpose (including to finance a Permitted Acquisition, other permitted Investment or, to the extent not constituting a Purchase Money Obligation or a Capital Lease Obligation, Capital Expenditures), and in each case subject to compliance with the Required Debt Terms; </w:t>
      </w:r>
      <w:r>
        <w:rPr>
          <w:rFonts w:ascii="Times New Roman" w:hAnsi="Times New Roman"/>
          <w:i/>
          <w:sz w:val="20"/>
        </w:rPr>
        <w:t>provided</w:t>
      </w:r>
      <w:r>
        <w:rPr>
          <w:rFonts w:ascii="Times New Roman" w:hAnsi="Times New Roman"/>
          <w:sz w:val="20"/>
        </w:rPr>
        <w:t xml:space="preserve">, that, on a Pro Forma Basis immediately after giving effect to each such incurrence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(but without, for the avoidance of doubt, giving effect to any amounts incurred in connection therewith under the Maximum Additional Debt Amount), the Total Net Leverage Ratio as of the Applicable Date of Determination and for the applicable Test Period is not greater than 3.00 to 1.00; </w:t>
      </w:r>
      <w:r>
        <w:rPr>
          <w:rFonts w:ascii="Times New Roman" w:hAnsi="Times New Roman"/>
          <w:i/>
          <w:sz w:val="20"/>
        </w:rPr>
        <w:t>provided</w:t>
      </w:r>
      <w:r>
        <w:rPr>
          <w:rFonts w:ascii="Times New Roman" w:hAnsi="Times New Roman"/>
          <w:sz w:val="20"/>
        </w:rPr>
        <w:t xml:space="preserve">, that, the amount available pursuant to the immediately preceding proviso may, in each case,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Issuer’s election in its sole discretion, be increased by an amount equal to any unutilized portion of the Maximum Additional Debt Amount; </w:t>
      </w:r>
      <w:r>
        <w:rPr>
          <w:rFonts w:ascii="Times New Roman" w:hAnsi="Times New Roman"/>
          <w:i/>
          <w:sz w:val="20"/>
        </w:rPr>
        <w:t>provided</w:t>
      </w:r>
      <w:r>
        <w:rPr>
          <w:rFonts w:ascii="Times New Roman" w:hAnsi="Times New Roman"/>
          <w:sz w:val="20"/>
        </w:rPr>
        <w:t xml:space="preserve">, that (x) to the extent the Maximum Additional Debt Amount is utilized to increase the amount available to the Issuer and its Restricted Subsidiaries pursuant to the immediately preceding proviso, any such amount utilized for such purpose shall reduce, dollar-for-dollar, the Maximum Additional Debt Amount and (y) the aggregate amount of such Indebtedness incurred pursuant to this </w:t>
      </w:r>
      <w:r>
        <w:rPr>
          <w:rFonts w:ascii="Times New Roman" w:hAnsi="Times New Roman"/>
          <w:sz w:val="20"/>
          <w:u w:val="single"/>
        </w:rPr>
        <w:t>clause (t)</w:t>
      </w:r>
      <w:r>
        <w:rPr>
          <w:rFonts w:ascii="Times New Roman" w:hAnsi="Times New Roman"/>
          <w:sz w:val="20"/>
        </w:rPr>
        <w:t xml:space="preserve"> by Restricted Subsidiaries that are not Note Parties, when aggregated with the principal amount of Indebtedness incurred by Restricted Subsidiaries that are not Note Parties pursuant to </w:t>
      </w:r>
      <w:r>
        <w:rPr>
          <w:rFonts w:ascii="Times New Roman" w:hAnsi="Times New Roman"/>
          <w:sz w:val="20"/>
          <w:u w:val="single"/>
        </w:rPr>
        <w:t>Section 6.01(r)</w:t>
      </w:r>
      <w:r>
        <w:rPr>
          <w:rFonts w:ascii="Times New Roman" w:hAnsi="Times New Roman"/>
          <w:sz w:val="20"/>
        </w:rPr>
        <w:t xml:space="preserve"> then outstanding, shall not exceed the greater of $5,000,000 and ten percent (10%) of Consolidated EBITDA for the most recently ended Test Period at any time outstanding; </w:t>
      </w:r>
    </w:p>
    <w:p>
      <w:pPr>
        <w:pStyle w:val="TextBody"/>
        <w:bidi w:val="0"/>
        <w:spacing w:before="240" w:after="0"/>
        <w:jc w:val="left"/>
        <w:rPr>
          <w:rFonts w:ascii="Times New Roman" w:hAnsi="Times New Roman"/>
          <w:sz w:val="20"/>
        </w:rPr>
      </w:pPr>
      <w:r>
        <w:rPr>
          <w:rFonts w:ascii="Times New Roman" w:hAnsi="Times New Roman"/>
          <w:sz w:val="20"/>
        </w:rPr>
        <w:t>(u) Indebtedness arising under or in connection with the issuance of letters of credit or other forms of credit support under any insurance collateral funding arrangement or substitute insurance collateral facility (“</w:t>
      </w:r>
      <w:r>
        <w:rPr>
          <w:rFonts w:ascii="Times New Roman" w:hAnsi="Times New Roman"/>
          <w:sz w:val="20"/>
          <w:u w:val="single"/>
        </w:rPr>
        <w:t>Insurance Collateral LC Obligations</w:t>
      </w:r>
      <w:r>
        <w:rPr>
          <w:rFonts w:ascii="Times New Roman" w:hAnsi="Times New Roman"/>
          <w:sz w:val="20"/>
        </w:rPr>
        <w:t xml:space="preserve">”) issued for the account of any Group Member in favor of any insurance company or other insurer to secure insurance obligations of any Group Member; </w:t>
      </w:r>
      <w:r>
        <w:rPr>
          <w:rFonts w:ascii="Times New Roman" w:hAnsi="Times New Roman"/>
          <w:i/>
          <w:sz w:val="20"/>
        </w:rPr>
        <w:t>provided</w:t>
      </w:r>
      <w:r>
        <w:rPr>
          <w:rFonts w:ascii="Times New Roman" w:hAnsi="Times New Roman"/>
          <w:sz w:val="20"/>
        </w:rPr>
        <w:t xml:space="preserve">, that, the aggregate face amount of all Insurance Collateral LC Obligations outstanding under this clause (u) shall not exceed $6,700,000; </w:t>
      </w:r>
    </w:p>
    <w:p>
      <w:pPr>
        <w:pStyle w:val="TextBody"/>
        <w:bidi w:val="0"/>
        <w:spacing w:before="240" w:after="0"/>
        <w:jc w:val="left"/>
        <w:rPr>
          <w:rFonts w:ascii="Times New Roman" w:hAnsi="Times New Roman"/>
          <w:sz w:val="20"/>
        </w:rPr>
      </w:pPr>
      <w:r>
        <w:rPr>
          <w:rFonts w:ascii="Times New Roman" w:hAnsi="Times New Roman"/>
          <w:sz w:val="20"/>
        </w:rPr>
        <w:t xml:space="preserve">(v) [reserved]; </w:t>
      </w:r>
    </w:p>
    <w:p>
      <w:pPr>
        <w:pStyle w:val="TextBody"/>
        <w:bidi w:val="0"/>
        <w:spacing w:before="240" w:after="0"/>
        <w:jc w:val="left"/>
        <w:rPr>
          <w:rFonts w:ascii="Times New Roman" w:hAnsi="Times New Roman"/>
          <w:sz w:val="20"/>
        </w:rPr>
      </w:pPr>
      <w:r>
        <w:rPr>
          <w:rFonts w:ascii="Times New Roman" w:hAnsi="Times New Roman"/>
          <w:sz w:val="20"/>
        </w:rPr>
        <w:t xml:space="preserve">(w) additional Indebtedness or Disqualified Capital Stock of the Issuer and the Restricted Subsidiaries; </w:t>
      </w:r>
      <w:r>
        <w:rPr>
          <w:rFonts w:ascii="Times New Roman" w:hAnsi="Times New Roman"/>
          <w:i/>
          <w:sz w:val="20"/>
        </w:rPr>
        <w:t>provided</w:t>
      </w:r>
      <w:r>
        <w:rPr>
          <w:rFonts w:ascii="Times New Roman" w:hAnsi="Times New Roman"/>
          <w:sz w:val="20"/>
        </w:rPr>
        <w:t xml:space="preserve">, that, immediately after giving effect to any incurrence of Indebtedness under this </w:t>
      </w:r>
      <w:r>
        <w:rPr>
          <w:rFonts w:ascii="Times New Roman" w:hAnsi="Times New Roman"/>
          <w:sz w:val="20"/>
          <w:u w:val="single"/>
        </w:rPr>
        <w:t>clause (w)</w:t>
      </w:r>
      <w:r>
        <w:rPr>
          <w:rFonts w:ascii="Times New Roman" w:hAnsi="Times New Roman"/>
          <w:sz w:val="20"/>
        </w:rPr>
        <w:t xml:space="preserve">, the sum of the aggregate principal amount of Indebtedness outstanding under this </w:t>
      </w:r>
      <w:r>
        <w:rPr>
          <w:rFonts w:ascii="Times New Roman" w:hAnsi="Times New Roman"/>
          <w:sz w:val="20"/>
          <w:u w:val="single"/>
        </w:rPr>
        <w:t>clause (w)</w:t>
      </w:r>
      <w:r>
        <w:rPr>
          <w:rFonts w:ascii="Times New Roman" w:hAnsi="Times New Roman"/>
          <w:sz w:val="20"/>
        </w:rPr>
        <w:t xml:space="preserve"> shall not exceed $10,000,000; </w:t>
      </w:r>
    </w:p>
    <w:p>
      <w:pPr>
        <w:pStyle w:val="TextBody"/>
        <w:bidi w:val="0"/>
        <w:spacing w:before="240" w:after="0"/>
        <w:jc w:val="left"/>
        <w:rPr>
          <w:rFonts w:ascii="Times New Roman" w:hAnsi="Times New Roman"/>
          <w:sz w:val="20"/>
        </w:rPr>
      </w:pPr>
      <w:r>
        <w:rPr>
          <w:rFonts w:ascii="Times New Roman" w:hAnsi="Times New Roman"/>
          <w:sz w:val="20"/>
        </w:rPr>
        <w:t xml:space="preserve">(x) to the extent constituting Indebtedness, advances in respect of transfer pricing or shared services agreements that are permitted by </w:t>
      </w:r>
      <w:r>
        <w:rPr>
          <w:rFonts w:ascii="Times New Roman" w:hAnsi="Times New Roman"/>
          <w:sz w:val="20"/>
          <w:u w:val="single"/>
        </w:rPr>
        <w:t>Section 6.03(z)</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 to the extent constituting any Indebtedness, any contingent liabilities arising in connection with any stock options; </w:t>
      </w:r>
    </w:p>
    <w:p>
      <w:pPr>
        <w:pStyle w:val="TextBody"/>
        <w:bidi w:val="0"/>
        <w:spacing w:before="240" w:after="0"/>
        <w:jc w:val="left"/>
        <w:rPr>
          <w:rFonts w:ascii="Times New Roman" w:hAnsi="Times New Roman"/>
          <w:sz w:val="20"/>
        </w:rPr>
      </w:pPr>
      <w:r>
        <w:rPr>
          <w:rFonts w:ascii="Times New Roman" w:hAnsi="Times New Roman"/>
          <w:sz w:val="20"/>
        </w:rPr>
        <w:t xml:space="preserve">(z) unsecured Indebtedness (i) incurred in connection with a Permitted Acquisition, any other Investment or any Asset Sale, in each case to the extent constituting indemnification obligations or obligations in respect of purchase price (including Earn-Outs and any other contingent consideration obligations or deferred purchase price obligations or any Indebtedness incurred to finance such obligations) or other similar adjustments, in each case, to be made in cash, or (ii) outstanding at any time to the seller of any business or assets permitted to be acquired by the Issuer or any Restricted Subsidiary hereunder; </w:t>
      </w:r>
      <w:r>
        <w:rPr>
          <w:rFonts w:ascii="Times New Roman" w:hAnsi="Times New Roman"/>
          <w:i/>
          <w:sz w:val="20"/>
        </w:rPr>
        <w:t>provided</w:t>
      </w:r>
      <w:r>
        <w:rPr>
          <w:rFonts w:ascii="Times New Roman" w:hAnsi="Times New Roman"/>
          <w:sz w:val="20"/>
        </w:rPr>
        <w:t xml:space="preserve">, that, the aggregate principal amount of all such Indebtedness outstanding under this </w:t>
      </w:r>
      <w:r>
        <w:rPr>
          <w:rFonts w:ascii="Times New Roman" w:hAnsi="Times New Roman"/>
          <w:sz w:val="20"/>
          <w:u w:val="single"/>
        </w:rPr>
        <w:t>clause (z)</w:t>
      </w:r>
      <w:r>
        <w:rPr>
          <w:rFonts w:ascii="Times New Roman" w:hAnsi="Times New Roman"/>
          <w:sz w:val="20"/>
        </w:rPr>
        <w:t xml:space="preserve"> at any time shall not exceed $37,500,000. </w:t>
      </w:r>
    </w:p>
    <w:p>
      <w:pPr>
        <w:pStyle w:val="TextBody"/>
        <w:bidi w:val="0"/>
        <w:spacing w:before="240" w:after="0"/>
        <w:jc w:val="left"/>
        <w:rPr>
          <w:rFonts w:ascii="Times New Roman" w:hAnsi="Times New Roman"/>
          <w:sz w:val="20"/>
        </w:rPr>
      </w:pPr>
      <w:r>
        <w:rPr>
          <w:rFonts w:ascii="Times New Roman" w:hAnsi="Times New Roman"/>
          <w:sz w:val="20"/>
        </w:rPr>
        <w:t xml:space="preserve">(aa) Indebtedness under Cash Management Agreements and other Indebtedness in respect of credit cards, purchasing cards, treasury management services and other netting services, automatic clearinghouse arrangements, overdraft protections, employee credit card programs, controlled disbursement, ACH transactions, return items, interstate depository network service, Society for Worldwide Interbank Financial Telecommunication transfers, cash pooling and operational foreign exchange management, and, in each case, similar arrangements, in each case, to the extent incurred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Indebtedness representing deferred compensation or other similar arrangements incurred in the ordinary course of business or in connection with a Permitted Acquisition or a similar permitted Investment; </w:t>
      </w:r>
    </w:p>
    <w:p>
      <w:pPr>
        <w:pStyle w:val="TextBody"/>
        <w:bidi w:val="0"/>
        <w:spacing w:before="240" w:after="0"/>
        <w:jc w:val="left"/>
        <w:rPr>
          <w:rFonts w:ascii="Times New Roman" w:hAnsi="Times New Roman"/>
          <w:sz w:val="20"/>
        </w:rPr>
      </w:pPr>
      <w:r>
        <w:rPr>
          <w:rFonts w:ascii="Times New Roman" w:hAnsi="Times New Roman"/>
          <w:sz w:val="20"/>
        </w:rPr>
        <w:t xml:space="preserve">(cc) customary indemnities contained in mandate, engagement and commitment letters, facility agreements, purchase agreements and indentures, in each case entered into in respect of Indebtedness permitted pursuant to this </w:t>
      </w:r>
      <w:r>
        <w:rPr>
          <w:rFonts w:ascii="Times New Roman" w:hAnsi="Times New Roman"/>
          <w:sz w:val="20"/>
          <w:u w:val="single"/>
        </w:rPr>
        <w:t>Section 6.01</w:t>
      </w:r>
      <w:r>
        <w:rPr>
          <w:rFonts w:ascii="Times New Roman" w:hAnsi="Times New Roman"/>
          <w:sz w:val="20"/>
        </w:rPr>
        <w:t xml:space="preserve"> and any Permitted Refinancing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(dd) Indebtedness consisting of unsecured guarantees by the Issuer or any of its Restricted Subsidiaries of operating leases of Subsidiary Guarantors; </w:t>
      </w:r>
    </w:p>
    <w:p>
      <w:pPr>
        <w:pStyle w:val="TextBody"/>
        <w:bidi w:val="0"/>
        <w:spacing w:before="240" w:after="0"/>
        <w:jc w:val="left"/>
        <w:rPr>
          <w:rFonts w:ascii="Times New Roman" w:hAnsi="Times New Roman"/>
          <w:sz w:val="20"/>
        </w:rPr>
      </w:pPr>
      <w:r>
        <w:rPr>
          <w:rFonts w:ascii="Times New Roman" w:hAnsi="Times New Roman"/>
          <w:sz w:val="20"/>
        </w:rPr>
        <w:t>(ee) Indebtedness in respect of premium financing arrangements (</w:t>
      </w:r>
      <w:r>
        <w:rPr>
          <w:rFonts w:ascii="Times New Roman" w:hAnsi="Times New Roman"/>
          <w:i/>
          <w:sz w:val="20"/>
        </w:rPr>
        <w:t>provided</w:t>
      </w:r>
      <w:r>
        <w:rPr>
          <w:rFonts w:ascii="Times New Roman" w:hAnsi="Times New Roman"/>
          <w:sz w:val="20"/>
        </w:rPr>
        <w:t xml:space="preserve">, that, the aggregate principal amount of such Indebtedness shall not exceed the annual premium amount and shall be secured only by the Liens described in </w:t>
      </w:r>
      <w:r>
        <w:rPr>
          <w:rFonts w:ascii="Times New Roman" w:hAnsi="Times New Roman"/>
          <w:sz w:val="20"/>
          <w:u w:val="single"/>
        </w:rPr>
        <w:t>Section 6.02(gg)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(ff) Indebtedness consisting of obligations owing under any dealer, customer or supplier incentive, supply, license or similar agreements entered into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(gg) customer deposits and advance payments received in the ordinary course of business from customers for goods and services purchased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(hh) all premiums (if any), interest (including post-petition interest), fees, expenses, charges and additional or contingent interest on obligations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(gg)</w:t>
      </w:r>
      <w:r>
        <w:rPr>
          <w:rFonts w:ascii="Times New Roman" w:hAnsi="Times New Roman"/>
          <w:sz w:val="20"/>
        </w:rPr>
        <w:t xml:space="preserve"> of this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accrual of interest, the accretion of accreted value and the payment of interest in the form of additional Indebtedness shall not be prohibited by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Create, incur, assume or permit to exist, directly or indirectly, any Lien on any property now owned or hereafter acquired by it or on any assets, income or revenues or rights in respect of any thereof, except the following (collectively, the “</w:t>
      </w:r>
      <w:r>
        <w:rPr>
          <w:rFonts w:ascii="Times New Roman" w:hAnsi="Times New Roman"/>
          <w:b/>
          <w:sz w:val="20"/>
        </w:rPr>
        <w:t>Permitted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Liens for Taxes not yet delinquent and Liens for Taxes that are being contested in good faith by appropriate proceedings and for which adequate reserves have been established in accordance with GAAP (or any other applicable accounting standard); </w:t>
      </w:r>
    </w:p>
    <w:p>
      <w:pPr>
        <w:pStyle w:val="TextBody"/>
        <w:bidi w:val="0"/>
        <w:spacing w:before="240" w:after="0"/>
        <w:jc w:val="left"/>
        <w:rPr>
          <w:rFonts w:ascii="Times New Roman" w:hAnsi="Times New Roman"/>
          <w:sz w:val="20"/>
        </w:rPr>
      </w:pPr>
      <w:r>
        <w:rPr>
          <w:rFonts w:ascii="Times New Roman" w:hAnsi="Times New Roman"/>
          <w:sz w:val="20"/>
        </w:rPr>
        <w:t xml:space="preserve">(b) Liens in respect of property of any Group Member imposed by Requirements of Law, (i) which were incurred in the ordinary course of business and do not secure Indebtedness for borrowed money, such as carriers’, warehousemen’s, materialmen’s, landlords’, workmen’s, suppliers’, repairmen’s and mechanics’ Liens and other similar Liens arising in the ordinary course of business or otherwise pertaining to Indebtedness permitted under </w:t>
      </w:r>
      <w:r>
        <w:rPr>
          <w:rFonts w:ascii="Times New Roman" w:hAnsi="Times New Roman"/>
          <w:sz w:val="20"/>
          <w:u w:val="single"/>
        </w:rPr>
        <w:t>Section 6.01(f)</w:t>
      </w:r>
      <w:r>
        <w:rPr>
          <w:rFonts w:ascii="Times New Roman" w:hAnsi="Times New Roman"/>
          <w:sz w:val="20"/>
        </w:rPr>
        <w:t xml:space="preserve"> and </w:t>
      </w:r>
      <w:r>
        <w:rPr>
          <w:rFonts w:ascii="Times New Roman" w:hAnsi="Times New Roman"/>
          <w:sz w:val="20"/>
          <w:u w:val="single"/>
        </w:rPr>
        <w:t>6.01(h)</w:t>
      </w:r>
      <w:r>
        <w:rPr>
          <w:rFonts w:ascii="Times New Roman" w:hAnsi="Times New Roman"/>
          <w:sz w:val="20"/>
        </w:rPr>
        <w:t xml:space="preserve"> which do not in the aggregate materially detract from the value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property of the Group Members, taken as a whole, and do not materially impair the use thereof in the operation of the business of the Group Members, taken as a whole, and which, if they secure obligations that are then more than thirty (30) days overdue and unpaid, are being contested in good faith by appropriate proceedings for which adequate reserves have been established in accordance with GAAP, or (ii) arising mandatorily on the assets of any Foreign Subsidiary as a result of a Requirement of Law; </w:t>
      </w:r>
    </w:p>
    <w:p>
      <w:pPr>
        <w:pStyle w:val="TextBody"/>
        <w:bidi w:val="0"/>
        <w:spacing w:before="240" w:after="0"/>
        <w:jc w:val="left"/>
        <w:rPr>
          <w:rFonts w:ascii="Times New Roman" w:hAnsi="Times New Roman"/>
          <w:sz w:val="20"/>
        </w:rPr>
      </w:pPr>
      <w:r>
        <w:rPr>
          <w:rFonts w:ascii="Times New Roman" w:hAnsi="Times New Roman"/>
          <w:sz w:val="20"/>
        </w:rPr>
        <w:t xml:space="preserve">(c) any Lien in existence on the Closing Date (to the extent in excess, individually, of $2,500,000) set forth on </w:t>
      </w:r>
      <w:r>
        <w:rPr>
          <w:rFonts w:ascii="Times New Roman" w:hAnsi="Times New Roman"/>
          <w:sz w:val="20"/>
          <w:u w:val="single"/>
        </w:rPr>
        <w:t>Schedule 6.02(c)</w:t>
      </w:r>
      <w:r>
        <w:rPr>
          <w:rFonts w:ascii="Times New Roman" w:hAnsi="Times New Roman"/>
          <w:sz w:val="20"/>
        </w:rPr>
        <w:t xml:space="preserve"> and any Lien granted as a replacement or substitute therefor; </w:t>
      </w:r>
      <w:r>
        <w:rPr>
          <w:rFonts w:ascii="Times New Roman" w:hAnsi="Times New Roman"/>
          <w:i/>
          <w:sz w:val="20"/>
        </w:rPr>
        <w:t>provided</w:t>
      </w:r>
      <w:r>
        <w:rPr>
          <w:rFonts w:ascii="Times New Roman" w:hAnsi="Times New Roman"/>
          <w:sz w:val="20"/>
        </w:rPr>
        <w:t xml:space="preserve">, that, any such replacement or substitute Lien (i) does not secure an aggregate amount of Indebtedness, if any, greater than the amount of such Indebtedness secured on the Closing Date or any Permitted Refinancing thereof and (ii) does not encumber any property in a material manner other than the property subject thereto on the Closing Date and any proceeds therefrom; </w:t>
      </w:r>
    </w:p>
    <w:p>
      <w:pPr>
        <w:pStyle w:val="TextBody"/>
        <w:bidi w:val="0"/>
        <w:spacing w:before="240" w:after="0"/>
        <w:jc w:val="left"/>
        <w:rPr>
          <w:rFonts w:ascii="Times New Roman" w:hAnsi="Times New Roman"/>
          <w:sz w:val="20"/>
        </w:rPr>
      </w:pPr>
      <w:r>
        <w:rPr>
          <w:rFonts w:ascii="Times New Roman" w:hAnsi="Times New Roman"/>
          <w:sz w:val="20"/>
        </w:rPr>
        <w:t xml:space="preserve">(d) easements, rights-of-way, restrictions (including zoning restrictions), covenants, conditions, licenses, encroachments, protrusions and other similar charges or encumbrances, and title deficiencies on or other irregularities with respect to any Real Property, in each case whether now or hereafter in existence, not (i) securing Indebtedness or (ii) individually or in the aggregate materially interfering with the ordinary conduct of the business and operations of the Group Members at such Real Property or materially adversely affecting the value, use and occupancy thereof; </w:t>
      </w:r>
    </w:p>
    <w:p>
      <w:pPr>
        <w:pStyle w:val="TextBody"/>
        <w:bidi w:val="0"/>
        <w:spacing w:before="240" w:after="0"/>
        <w:jc w:val="left"/>
        <w:rPr>
          <w:rFonts w:ascii="Times New Roman" w:hAnsi="Times New Roman"/>
          <w:sz w:val="20"/>
        </w:rPr>
      </w:pPr>
      <w:r>
        <w:rPr>
          <w:rFonts w:ascii="Times New Roman" w:hAnsi="Times New Roman"/>
          <w:sz w:val="20"/>
        </w:rPr>
        <w:t xml:space="preserve">(e) Liens to the extent arising out of judgments, orders, attachments, decrees or awards not resulting in a Default or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(f) Liens (i) imposed by Requirements of Law or deposits made in connection therewith in the ordinary course of business in connection with workers’ compensation, unemployment insurance and other types of social security legislation, (ii) incurred to secure the performance of appeal bonds or incurred in the ordinary course of business to secure the performance of tenders, statutory obligations (other than excise taxes), surety, stay, customs bonds and statutory bonds, bids, leases (including deposits with respect thereto), government contracts, trade contracts, performance and return of money bonds and other similar obligations (exclusive of obligations for the payment of borrowed money) or (iii) arising by virtue of deposits made in the ordinary course of business to secure liability for premiums to insurance carriers which, in each case of </w:t>
      </w:r>
      <w:r>
        <w:rPr>
          <w:rFonts w:ascii="Times New Roman" w:hAnsi="Times New Roman"/>
          <w:sz w:val="20"/>
          <w:u w:val="single"/>
        </w:rPr>
        <w:t>subclause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w:t>
      </w:r>
      <w:r>
        <w:rPr>
          <w:rFonts w:ascii="Times New Roman" w:hAnsi="Times New Roman"/>
          <w:sz w:val="20"/>
          <w:u w:val="single"/>
        </w:rPr>
        <w:t>clause (f)</w:t>
      </w:r>
      <w:r>
        <w:rPr>
          <w:rFonts w:ascii="Times New Roman" w:hAnsi="Times New Roman"/>
          <w:sz w:val="20"/>
        </w:rPr>
        <w:t xml:space="preserve">, do not in the aggregate materially detract from the value of the property of the Group Members, taken as a whole, and do not materially impair the use thereof in the operation of the business of the Group Members,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(g) Leases, subleases, licenses and sublicenses of any Property (other than Intellectual Property) of any Group Member granted by such Group Member to third parties, in each case entered into in the ordinary course of such Group Member’s business; </w:t>
      </w:r>
    </w:p>
    <w:p>
      <w:pPr>
        <w:pStyle w:val="TextBody"/>
        <w:bidi w:val="0"/>
        <w:spacing w:before="240" w:after="0"/>
        <w:jc w:val="left"/>
        <w:rPr>
          <w:rFonts w:ascii="Times New Roman" w:hAnsi="Times New Roman"/>
          <w:sz w:val="20"/>
        </w:rPr>
      </w:pPr>
      <w:r>
        <w:rPr>
          <w:rFonts w:ascii="Times New Roman" w:hAnsi="Times New Roman"/>
          <w:sz w:val="20"/>
        </w:rPr>
        <w:t xml:space="preserve">(h) any interest or title of a lessor, sublessor, licensor, sublicensor, licensee or sublicensee under any lease, sublease, license or sublicense not prohibited by this Indenture or the other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Liens which may arise as a result of municipal and zoning codes and ordinances, building and other land use laws imposed by any Governmental Authority which are not violated in any material respect by existing improvements or the present use or occupancy of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(j) Liens arising out of conditional sale, title retention, consignment or similar arrangements for the sale of goods entered into by any Group Member in the ordinary course of business in accordance with the past practices of such Group Member; </w:t>
      </w:r>
    </w:p>
    <w:p>
      <w:pPr>
        <w:pStyle w:val="TextBody"/>
        <w:bidi w:val="0"/>
        <w:spacing w:before="240" w:after="0"/>
        <w:jc w:val="left"/>
        <w:rPr>
          <w:rFonts w:ascii="Times New Roman" w:hAnsi="Times New Roman"/>
          <w:sz w:val="20"/>
        </w:rPr>
      </w:pPr>
      <w:r>
        <w:rPr>
          <w:rFonts w:ascii="Times New Roman" w:hAnsi="Times New Roman"/>
          <w:sz w:val="20"/>
        </w:rPr>
        <w:t xml:space="preserve">(k) Liens securing Indebtedness incurred pursuant to </w:t>
      </w:r>
      <w:r>
        <w:rPr>
          <w:rFonts w:ascii="Times New Roman" w:hAnsi="Times New Roman"/>
          <w:sz w:val="20"/>
          <w:u w:val="single"/>
        </w:rPr>
        <w:t>Section 6.01(e)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such Liens attach only to the property being financed pursuant to such Indebtedness (or the same property securing such Indebtedness immediately prior to any Permitted Refinancing thereof); </w:t>
      </w:r>
    </w:p>
    <w:p>
      <w:pPr>
        <w:pStyle w:val="TextBody"/>
        <w:bidi w:val="0"/>
        <w:spacing w:before="240" w:after="0"/>
        <w:jc w:val="left"/>
        <w:rPr>
          <w:rFonts w:ascii="Times New Roman" w:hAnsi="Times New Roman"/>
          <w:sz w:val="20"/>
        </w:rPr>
      </w:pPr>
      <w:r>
        <w:rPr>
          <w:rFonts w:ascii="Times New Roman" w:hAnsi="Times New Roman"/>
          <w:sz w:val="20"/>
        </w:rPr>
        <w:t xml:space="preserve">(l) bankers’ Liens, rights of setoff and other similar Liens existing solely with respect to cash and Cash Equivalents on deposit in one or more accounts maintained by any Group Member,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(m) Liens on property or assets of a Person existing at the time such Person or asset is acquired or merged with or into or consolidated with any Group Member to the extent not prohibited hereunder (and not created in anticipation or contemplation thereof); </w:t>
      </w:r>
      <w:r>
        <w:rPr>
          <w:rFonts w:ascii="Times New Roman" w:hAnsi="Times New Roman"/>
          <w:i/>
          <w:sz w:val="20"/>
        </w:rPr>
        <w:t>provided</w:t>
      </w:r>
      <w:r>
        <w:rPr>
          <w:rFonts w:ascii="Times New Roman" w:hAnsi="Times New Roman"/>
          <w:sz w:val="20"/>
        </w:rPr>
        <w:t xml:space="preserve">, that, such Liens do not extend to property not subject to such Liens at the time of acquisition (other than improvements thereon or pursuant to an after-acquired property clause in the applicable security documents) and are no more favorable (as reasonably determined by the Issuer) to the lienholders than such existing Lien; </w:t>
      </w:r>
    </w:p>
    <w:p>
      <w:pPr>
        <w:pStyle w:val="TextBody"/>
        <w:bidi w:val="0"/>
        <w:spacing w:before="240" w:after="0"/>
        <w:jc w:val="left"/>
        <w:rPr>
          <w:rFonts w:ascii="Times New Roman" w:hAnsi="Times New Roman"/>
          <w:sz w:val="20"/>
        </w:rPr>
      </w:pPr>
      <w:r>
        <w:rPr>
          <w:rFonts w:ascii="Times New Roman" w:hAnsi="Times New Roman"/>
          <w:sz w:val="20"/>
        </w:rPr>
        <w:t xml:space="preserve">(n) (i) Liens granted pursuant to the Security Documents to secure the Obligations, (ii) any Liens securing (x) Permitted Additional Debt, Permitted Pari Passu Refinancing Debt and Permitted Junior Refinancing Debt (in each case, to the extent permitted pursuant to the terms of such definition and incurred pursuant to </w:t>
      </w:r>
      <w:r>
        <w:rPr>
          <w:rFonts w:ascii="Times New Roman" w:hAnsi="Times New Roman"/>
          <w:sz w:val="20"/>
          <w:u w:val="single"/>
        </w:rPr>
        <w:t>Section 6.01(a)</w:t>
      </w:r>
      <w:r>
        <w:rPr>
          <w:rFonts w:ascii="Times New Roman" w:hAnsi="Times New Roman"/>
          <w:sz w:val="20"/>
        </w:rPr>
        <w:t xml:space="preserve">) and (y) Pari Passu Notes Lien Indebtedness (to the extent permitted pursuant to the terms of such definition and incurred pursuant to </w:t>
      </w:r>
      <w:r>
        <w:rPr>
          <w:rFonts w:ascii="Times New Roman" w:hAnsi="Times New Roman"/>
          <w:sz w:val="20"/>
          <w:u w:val="single"/>
        </w:rPr>
        <w:t>Section 6.01(d)</w:t>
      </w:r>
      <w:r>
        <w:rPr>
          <w:rFonts w:ascii="Times New Roman" w:hAnsi="Times New Roman"/>
          <w:sz w:val="20"/>
        </w:rPr>
        <w:t xml:space="preserve">) ; </w:t>
      </w:r>
      <w:r>
        <w:rPr>
          <w:rFonts w:ascii="Times New Roman" w:hAnsi="Times New Roman"/>
          <w:i/>
          <w:sz w:val="20"/>
        </w:rPr>
        <w:t>provided</w:t>
      </w:r>
      <w:r>
        <w:rPr>
          <w:rFonts w:ascii="Times New Roman" w:hAnsi="Times New Roman"/>
          <w:sz w:val="20"/>
        </w:rPr>
        <w:t xml:space="preserve">, in each case, that, such Liens are subject to any subordination or intercreditor requirements set forth in the applicable definitions referenced above in this </w:t>
      </w:r>
      <w:r>
        <w:rPr>
          <w:rFonts w:ascii="Times New Roman" w:hAnsi="Times New Roman"/>
          <w:sz w:val="20"/>
          <w:u w:val="single"/>
        </w:rPr>
        <w:t>Section 6.02(n)</w:t>
      </w:r>
      <w:r>
        <w:rPr>
          <w:rFonts w:ascii="Times New Roman" w:hAnsi="Times New Roman"/>
          <w:sz w:val="20"/>
        </w:rPr>
        <w:t xml:space="preserve">, and (iii) Liens securing the ABL Obligations (including any increase to the commitments thereunder after the Closing Date pursuant to Section 3.4 of the ABL Credit Agreement (as in effect on the date hereof)) or any Permitted Refinancings in respect any thereof to the extent such Indebtedness is incurred and outstanding pursuant to, and in compliance with, </w:t>
      </w:r>
      <w:r>
        <w:rPr>
          <w:rFonts w:ascii="Times New Roman" w:hAnsi="Times New Roman"/>
          <w:sz w:val="20"/>
          <w:u w:val="single"/>
        </w:rPr>
        <w:t>Section 6.01(c)</w:t>
      </w:r>
      <w:r>
        <w:rPr>
          <w:rFonts w:ascii="Times New Roman" w:hAnsi="Times New Roman"/>
          <w:sz w:val="20"/>
        </w:rPr>
        <w:t xml:space="preserve"> and such Liens are (x) if on Notes Priority Collateral, subordinated to the Liens securing the Obligations in accordance with, and subject to, the terms of the ABL/Note Intercreditor Agreement and (y) if on ABL Priority Collateral, subject to the ABL/Note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licenses and sublicenses of Intellectual Property granted by any Group Member in the ordinary course of business or not interfering in any material respect with the ordinary conduct of business of the Group Members; </w:t>
      </w:r>
    </w:p>
    <w:p>
      <w:pPr>
        <w:pStyle w:val="TextBody"/>
        <w:bidi w:val="0"/>
        <w:spacing w:before="240" w:after="0"/>
        <w:jc w:val="left"/>
        <w:rPr>
          <w:rFonts w:ascii="Times New Roman" w:hAnsi="Times New Roman"/>
          <w:sz w:val="20"/>
        </w:rPr>
      </w:pPr>
      <w:r>
        <w:rPr>
          <w:rFonts w:ascii="Times New Roman" w:hAnsi="Times New Roman"/>
          <w:sz w:val="20"/>
        </w:rPr>
        <w:t xml:space="preserve">(p) the filing of UCC (or equivalent) financing statements solely as a precautionary measure in connection with operating leases or consignment of goods; </w:t>
      </w:r>
    </w:p>
    <w:p>
      <w:pPr>
        <w:pStyle w:val="TextBody"/>
        <w:bidi w:val="0"/>
        <w:spacing w:before="240" w:after="0"/>
        <w:jc w:val="left"/>
        <w:rPr>
          <w:rFonts w:ascii="Times New Roman" w:hAnsi="Times New Roman"/>
          <w:sz w:val="20"/>
        </w:rPr>
      </w:pPr>
      <w:r>
        <w:rPr>
          <w:rFonts w:ascii="Times New Roman" w:hAnsi="Times New Roman"/>
          <w:sz w:val="20"/>
        </w:rPr>
        <w:t xml:space="preserve">(q) Liens securing reimbursement obligations in an aggregate amount not exceeding $5,000,000 with respect to commercial letters of credit which encumber documents and other assets relating to such letters of credit and products and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(r) Liens (other than on Collateral) securing Hedging Obligations in an aggregate amount not exceeding $5,000,000 entered into for bona fide hedging purposes of the Issuer or any Restricted Subsidiary not for the purpose of speculation; </w:t>
      </w:r>
    </w:p>
    <w:p>
      <w:pPr>
        <w:pStyle w:val="TextBody"/>
        <w:bidi w:val="0"/>
        <w:spacing w:before="240" w:after="0"/>
        <w:jc w:val="left"/>
        <w:rPr>
          <w:rFonts w:ascii="Times New Roman" w:hAnsi="Times New Roman"/>
          <w:sz w:val="20"/>
        </w:rPr>
      </w:pPr>
      <w:r>
        <w:rPr>
          <w:rFonts w:ascii="Times New Roman" w:hAnsi="Times New Roman"/>
          <w:sz w:val="20"/>
        </w:rPr>
        <w:t xml:space="preserve">(s) Liens attaching solely to cash earnest money deposits in connection with an Investment permitted by </w:t>
      </w:r>
      <w:r>
        <w:rPr>
          <w:rFonts w:ascii="Times New Roman" w:hAnsi="Times New Roman"/>
          <w:sz w:val="20"/>
          <w:u w:val="single"/>
        </w:rPr>
        <w:t>Section 6.03</w:t>
      </w:r>
      <w:r>
        <w:rPr>
          <w:rFonts w:ascii="Times New Roman" w:hAnsi="Times New Roman"/>
          <w:sz w:val="20"/>
        </w:rPr>
        <w:t xml:space="preserve"> (other than </w:t>
      </w:r>
      <w:r>
        <w:rPr>
          <w:rFonts w:ascii="Times New Roman" w:hAnsi="Times New Roman"/>
          <w:sz w:val="20"/>
          <w:u w:val="single"/>
        </w:rPr>
        <w:t>Section 6.03(j)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 Liens of a collecting bank arising in the ordinary course of business under Section 4-208 of the UCC in effect in the relevant jurisdiction covering only the items being collected upon; </w:t>
      </w:r>
    </w:p>
    <w:p>
      <w:pPr>
        <w:pStyle w:val="TextBody"/>
        <w:bidi w:val="0"/>
        <w:spacing w:before="240" w:after="0"/>
        <w:jc w:val="left"/>
        <w:rPr>
          <w:rFonts w:ascii="Times New Roman" w:hAnsi="Times New Roman"/>
          <w:sz w:val="20"/>
        </w:rPr>
      </w:pPr>
      <w:r>
        <w:rPr>
          <w:rFonts w:ascii="Times New Roman" w:hAnsi="Times New Roman"/>
          <w:sz w:val="20"/>
        </w:rPr>
        <w:t xml:space="preserve">(u) Liens granted by a Restricted Subsidiary (i) that is not a Note Party in favor of any other Restricted Subsidiary in respect of Indebtedness or other obligations owed by such Restricted Subsidiary to such other Restricted Subsidiary or (ii) in favor of any Note Party; </w:t>
      </w:r>
    </w:p>
    <w:p>
      <w:pPr>
        <w:pStyle w:val="TextBody"/>
        <w:bidi w:val="0"/>
        <w:spacing w:before="240" w:after="0"/>
        <w:jc w:val="left"/>
        <w:rPr>
          <w:rFonts w:ascii="Times New Roman" w:hAnsi="Times New Roman"/>
          <w:sz w:val="20"/>
        </w:rPr>
      </w:pPr>
      <w:r>
        <w:rPr>
          <w:rFonts w:ascii="Times New Roman" w:hAnsi="Times New Roman"/>
          <w:sz w:val="20"/>
        </w:rPr>
        <w:t xml:space="preserve">(v) Liens on insurance policies and the proceeds thereof granted in the ordinary course of business to secure the financing of insurance premiums with respect thereto under </w:t>
      </w:r>
      <w:r>
        <w:rPr>
          <w:rFonts w:ascii="Times New Roman" w:hAnsi="Times New Roman"/>
          <w:sz w:val="20"/>
          <w:u w:val="single"/>
        </w:rPr>
        <w:t>Section 6.01(k)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 Liens (i) incurred in the ordinary course of business in connection with the purchase or shipping of goods or assets (or the related assets and proceeds thereof), which Liens are in favor of the seller or shipper of such goods or assets and only attach to such goods or assets, and (ii)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(x) Liens of any Group Member with respect to Indebtedness and other obligations that do not in the aggregate exceed the sum of (i) greater of $5,000,000 and ten percent (10%) of Consolidated EBITDA for the most recently ended Test Period and (ii) any accrued interest thereon and any interest paid in kind on any Indebtedness or other obligations described in </w:t>
      </w:r>
      <w:r>
        <w:rPr>
          <w:rFonts w:ascii="Times New Roman" w:hAnsi="Times New Roman"/>
          <w:sz w:val="20"/>
          <w:u w:val="single"/>
        </w:rPr>
        <w:t>clause (i)</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in each case, that, any such Lien on assets constituting Collateral (other than Liens with respect to Purchase Money Obligations or Capital Lease Obligations) shall be junior in priority to the Liens on the Collateral securing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(y) Liens on assets or property of Restricted Subsidiaries that are not Note Parties (including joint ventures) securing Indebtedness and other obligations of such Restricted Subsidiary that is not a Note Party permitted to be incurred pursuant to </w:t>
      </w:r>
      <w:r>
        <w:rPr>
          <w:rFonts w:ascii="Times New Roman" w:hAnsi="Times New Roman"/>
          <w:sz w:val="20"/>
          <w:u w:val="single"/>
        </w:rPr>
        <w:t>Section 6.01</w:t>
      </w:r>
      <w:r>
        <w:rPr>
          <w:rFonts w:ascii="Times New Roman" w:hAnsi="Times New Roman"/>
          <w:sz w:val="20"/>
        </w:rPr>
        <w:t xml:space="preserve"> (so long as such Liens do not extend to the assets of any Note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Liens in respect of cash collateral securing Indebtedness incurred pursuant to </w:t>
      </w:r>
      <w:r>
        <w:rPr>
          <w:rFonts w:ascii="Times New Roman" w:hAnsi="Times New Roman"/>
          <w:sz w:val="20"/>
          <w:u w:val="single"/>
        </w:rPr>
        <w:t>Section 6.01(s)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(aa) Liens securing Indebtedness incurred pursuant to </w:t>
      </w:r>
      <w:r>
        <w:rPr>
          <w:rFonts w:ascii="Times New Roman" w:hAnsi="Times New Roman"/>
          <w:sz w:val="20"/>
          <w:u w:val="single"/>
        </w:rPr>
        <w:t>Section 6.01(p)</w:t>
      </w:r>
      <w:r>
        <w:rPr>
          <w:rFonts w:ascii="Times New Roman" w:hAnsi="Times New Roman"/>
          <w:sz w:val="20"/>
        </w:rPr>
        <w:t xml:space="preserve"> (so long as such Liens secure only the same assets (and any after acquired assets pursuant to any after-acquired property clause in the applicable security documents) and the same Indebtedness that such Liens secured, immediately prior to the assumption of such Indebtedness, and so long as such Liens were not created in contemplation of such assumption) and </w:t>
      </w:r>
      <w:r>
        <w:rPr>
          <w:rFonts w:ascii="Times New Roman" w:hAnsi="Times New Roman"/>
          <w:sz w:val="20"/>
          <w:u w:val="single"/>
        </w:rPr>
        <w:t>Section 6.01(t)</w:t>
      </w:r>
      <w:r>
        <w:rPr>
          <w:rFonts w:ascii="Times New Roman" w:hAnsi="Times New Roman"/>
          <w:sz w:val="20"/>
        </w:rPr>
        <w:t xml:space="preserve"> (to the extent permitted to be secured, and on the lien priorities described, by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(bb) Liens on cash advances in favor of the seller of any property to be acquired in an Investment permitted pursuant to </w:t>
      </w:r>
      <w:r>
        <w:rPr>
          <w:rFonts w:ascii="Times New Roman" w:hAnsi="Times New Roman"/>
          <w:sz w:val="20"/>
          <w:u w:val="single"/>
        </w:rPr>
        <w:t>Section 6.03</w:t>
      </w:r>
      <w:r>
        <w:rPr>
          <w:rFonts w:ascii="Times New Roman" w:hAnsi="Times New Roman"/>
          <w:sz w:val="20"/>
        </w:rPr>
        <w:t xml:space="preserve"> to be applied against the purchase price for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(cc) Liens on Equity Interests (i) deemed to exist in connection with any options, put and call arrangements, rights of first refusal and similar rights relating to Investments in Persons that are not Restricted Subsidiaries of Issuer or (ii) of any joint venture or similar arrangement pursuant to any joint venture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(dd) restrictions on dispositions of assets to be disposed of pursuant to merger agreements, stock or asset purchase agreements and similar agreements, in each case, solely to the extent such disposition would be permitted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(ee) Liens on any assets not constituting Collateral in an aggregate amount not to exceed the greater of $5,000,000 and ten percent (10%) of Consolidated EBITDA for the most recently ended Test Period; </w:t>
      </w:r>
    </w:p>
    <w:p>
      <w:pPr>
        <w:pStyle w:val="TextBody"/>
        <w:bidi w:val="0"/>
        <w:spacing w:before="240" w:after="0"/>
        <w:jc w:val="left"/>
        <w:rPr>
          <w:rFonts w:ascii="Times New Roman" w:hAnsi="Times New Roman"/>
          <w:sz w:val="20"/>
        </w:rPr>
      </w:pPr>
      <w:r>
        <w:rPr>
          <w:rFonts w:ascii="Times New Roman" w:hAnsi="Times New Roman"/>
          <w:sz w:val="20"/>
        </w:rPr>
        <w:t xml:space="preserve">(ff) [reserved]; </w:t>
      </w:r>
    </w:p>
    <w:p>
      <w:pPr>
        <w:pStyle w:val="TextBody"/>
        <w:bidi w:val="0"/>
        <w:spacing w:before="240" w:after="0"/>
        <w:jc w:val="left"/>
        <w:rPr>
          <w:rFonts w:ascii="Times New Roman" w:hAnsi="Times New Roman"/>
          <w:sz w:val="20"/>
        </w:rPr>
      </w:pPr>
      <w:r>
        <w:rPr>
          <w:rFonts w:ascii="Times New Roman" w:hAnsi="Times New Roman"/>
          <w:sz w:val="20"/>
        </w:rPr>
        <w:t xml:space="preserve">(gg) Liens securing insurance premium financing arrangements; </w:t>
      </w:r>
      <w:r>
        <w:rPr>
          <w:rFonts w:ascii="Times New Roman" w:hAnsi="Times New Roman"/>
          <w:i/>
          <w:sz w:val="20"/>
        </w:rPr>
        <w:t>provided</w:t>
      </w:r>
      <w:r>
        <w:rPr>
          <w:rFonts w:ascii="Times New Roman" w:hAnsi="Times New Roman"/>
          <w:sz w:val="20"/>
        </w:rPr>
        <w:t xml:space="preserve">, that, such Liens only encumber insurance premiums, policies or dividends with respect to the policies that were financed with the funds advanced under such arrangements; </w:t>
      </w:r>
    </w:p>
    <w:p>
      <w:pPr>
        <w:pStyle w:val="TextBody"/>
        <w:bidi w:val="0"/>
        <w:spacing w:before="240" w:after="0"/>
        <w:jc w:val="left"/>
        <w:rPr>
          <w:rFonts w:ascii="Times New Roman" w:hAnsi="Times New Roman"/>
          <w:sz w:val="20"/>
        </w:rPr>
      </w:pPr>
      <w:r>
        <w:rPr>
          <w:rFonts w:ascii="Times New Roman" w:hAnsi="Times New Roman"/>
          <w:sz w:val="20"/>
        </w:rPr>
        <w:t xml:space="preserve">(hh) Liens arising from precautionary UCC or non-U.S. equivalent financing statements, to the extent applicable, entered into in connection with any transaction otherwise permitted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(ii) Liens in respect of cash collateral securing Indebtedness incurred pursuant to </w:t>
      </w:r>
      <w:r>
        <w:rPr>
          <w:rFonts w:ascii="Times New Roman" w:hAnsi="Times New Roman"/>
          <w:sz w:val="20"/>
          <w:u w:val="single"/>
        </w:rPr>
        <w:t>Section 6.01(u)</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Investments, Loans and Advances</w:t>
      </w:r>
      <w:r>
        <w:rPr>
          <w:rFonts w:ascii="Times New Roman" w:hAnsi="Times New Roman"/>
          <w:sz w:val="20"/>
        </w:rPr>
        <w:t>. Directly or indirectly, lend money or credit (by way of guarantee or otherwise) or make advances to any person, or purchase or acquire any Equity Interests, bonds, notes, debentures, guarantees or other securities of, or make any capital contribution to, or acquire assets constituting all or a material portion of the assets of, or acquire assets constituting a line of business, business unit or division of, any other Person (all of the foregoing, collectively, “</w:t>
      </w:r>
      <w:r>
        <w:rPr>
          <w:rFonts w:ascii="Times New Roman" w:hAnsi="Times New Roman"/>
          <w:b/>
          <w:sz w:val="20"/>
        </w:rPr>
        <w:t>Investments</w:t>
      </w:r>
      <w:r>
        <w:rPr>
          <w:rFonts w:ascii="Times New Roman" w:hAnsi="Times New Roman"/>
          <w:sz w:val="20"/>
        </w:rPr>
        <w:t xml:space="preserve">”), except that the following shall be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Group Members may consummate the Transactions in accordance with the provisions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(b) (i) Investments outstanding, contemplated or made pursuant to binding commitments in effect on the Closing Date and (to the extent in excess, individually, of $2,500,000) identified on </w:t>
      </w:r>
      <w:r>
        <w:rPr>
          <w:rFonts w:ascii="Times New Roman" w:hAnsi="Times New Roman"/>
          <w:sz w:val="20"/>
          <w:u w:val="single"/>
        </w:rPr>
        <w:t>Schedule 6.03(b)</w:t>
      </w:r>
      <w:r>
        <w:rPr>
          <w:rFonts w:ascii="Times New Roman" w:hAnsi="Times New Roman"/>
          <w:sz w:val="20"/>
        </w:rPr>
        <w:t xml:space="preserve"> and (ii) Investments consisting of any modification, replacement, renewal, reinvestment or extension of any Investment described in </w:t>
      </w:r>
      <w:r>
        <w:rPr>
          <w:rFonts w:ascii="Times New Roman" w:hAnsi="Times New Roman"/>
          <w:sz w:val="20"/>
          <w:u w:val="single"/>
        </w:rPr>
        <w:t>clause (i)</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that, the amount of any Investment permitted pursuant to this </w:t>
      </w:r>
      <w:r>
        <w:rPr>
          <w:rFonts w:ascii="Times New Roman" w:hAnsi="Times New Roman"/>
          <w:sz w:val="20"/>
          <w:u w:val="single"/>
        </w:rPr>
        <w:t>clause (ii)</w:t>
      </w:r>
      <w:r>
        <w:rPr>
          <w:rFonts w:ascii="Times New Roman" w:hAnsi="Times New Roman"/>
          <w:sz w:val="20"/>
        </w:rPr>
        <w:t xml:space="preserve"> is not increased from the amount of such Investment on the Closing Date except pursuant to the terms of such Investment as of the Closing Date or as otherwise permitted by this </w:t>
      </w:r>
      <w:r>
        <w:rPr>
          <w:rFonts w:ascii="Times New Roman" w:hAnsi="Times New Roman"/>
          <w:sz w:val="20"/>
          <w:u w:val="single"/>
        </w:rPr>
        <w:t>Section 6.03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Group Members may (i) acquire and hold accounts receivable owing to any of them if created or acquired in the ordinary course of business and payable or dischargeable in accordance with customary terms, (ii) invest in, acquire and hold cash and Cash Equivalents, and other cash equivalent Investments, (iii) endorse negotiable instruments held for collection or deposit in the ordinary course of business or (iv) make lease, utility and other similar deposits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Hedging Obligations permitted by </w:t>
      </w:r>
      <w:r>
        <w:rPr>
          <w:rFonts w:ascii="Times New Roman" w:hAnsi="Times New Roman"/>
          <w:sz w:val="20"/>
          <w:u w:val="single"/>
        </w:rPr>
        <w:t>Section 6.01(d)</w:t>
      </w:r>
      <w:r>
        <w:rPr>
          <w:rFonts w:ascii="Times New Roman" w:hAnsi="Times New Roman"/>
          <w:sz w:val="20"/>
        </w:rPr>
        <w:t xml:space="preserve"> or otherwise in connection with non-speculative Hedging Agreements or similar arrangements (including in connection with the terminations or unwinding thereof); </w:t>
      </w:r>
    </w:p>
    <w:p>
      <w:pPr>
        <w:pStyle w:val="TextBody"/>
        <w:bidi w:val="0"/>
        <w:spacing w:before="240" w:after="0"/>
        <w:jc w:val="left"/>
        <w:rPr>
          <w:rFonts w:ascii="Times New Roman" w:hAnsi="Times New Roman"/>
          <w:sz w:val="20"/>
        </w:rPr>
      </w:pPr>
      <w:r>
        <w:rPr>
          <w:rFonts w:ascii="Times New Roman" w:hAnsi="Times New Roman"/>
          <w:sz w:val="20"/>
        </w:rPr>
        <w:t xml:space="preserve">(e) loans and advances (i) to directors, employees and officers of any Group Member in the ordinary course of business, or otherwise for </w:t>
      </w:r>
      <w:r>
        <w:rPr>
          <w:rFonts w:ascii="Times New Roman" w:hAnsi="Times New Roman"/>
          <w:i/>
          <w:sz w:val="20"/>
        </w:rPr>
        <w:t>bona fide</w:t>
      </w:r>
      <w:r>
        <w:rPr>
          <w:rFonts w:ascii="Times New Roman" w:hAnsi="Times New Roman"/>
          <w:sz w:val="20"/>
        </w:rPr>
        <w:t xml:space="preserve"> business purposes in an aggregate amount not to exceed the greater of $5,000,000 and ten percent (10%) of Consolidated EBITDA for the most recently ended Test Period at any time outstanding and (ii) to directors, employees and officers of any Group Member (whether or not currently serving as such) to purchase Equity Interests of Issuer or any of its direct or indirect parent companies (</w:t>
      </w:r>
      <w:r>
        <w:rPr>
          <w:rFonts w:ascii="Times New Roman" w:hAnsi="Times New Roman"/>
          <w:i/>
          <w:sz w:val="20"/>
        </w:rPr>
        <w:t>provided</w:t>
      </w:r>
      <w:r>
        <w:rPr>
          <w:rFonts w:ascii="Times New Roman" w:hAnsi="Times New Roman"/>
          <w:sz w:val="20"/>
        </w:rPr>
        <w:t xml:space="preserve">, that, in the case of this </w:t>
      </w:r>
      <w:r>
        <w:rPr>
          <w:rFonts w:ascii="Times New Roman" w:hAnsi="Times New Roman"/>
          <w:sz w:val="20"/>
          <w:u w:val="single"/>
        </w:rPr>
        <w:t>clause (ii)</w:t>
      </w:r>
      <w:r>
        <w:rPr>
          <w:rFonts w:ascii="Times New Roman" w:hAnsi="Times New Roman"/>
          <w:sz w:val="20"/>
        </w:rPr>
        <w:t xml:space="preserve">, any such amount loaned or advanced is simultaneously used to purchase such Equity Interests; to the extent paid in cash, such amounts shall be contributed to a Note Party; and such loans shall not exceed in the aggregate, in any fiscal year of Issuer, greater of $5,000,000 and ten percent (10%) of Consolidated EBITDA for the most recently ended Test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amount may be increased, by up to an aggregate amount equal to (A) the greater of $5,000,000 and ten percent (10%) of Consolidated EBITDA for the most recently ended Test Period, solely to the extent unutilized in the immediately preceding fiscal year and (B) the greater of $5,000,000 and ten percent (10%) of Consolidated EBITDA for the most recently ended Test Period for the most recently ended Test Period solely to the extent that any additional amount utilized pursuant to this </w:t>
      </w:r>
      <w:r>
        <w:rPr>
          <w:rFonts w:ascii="Times New Roman" w:hAnsi="Times New Roman"/>
          <w:sz w:val="20"/>
          <w:u w:val="single"/>
        </w:rPr>
        <w:t>clause (B)</w:t>
      </w:r>
      <w:r>
        <w:rPr>
          <w:rFonts w:ascii="Times New Roman" w:hAnsi="Times New Roman"/>
          <w:sz w:val="20"/>
        </w:rPr>
        <w:t xml:space="preserve"> shall reduce the amount of Investments permitted pursuant to this </w:t>
      </w:r>
      <w:r>
        <w:rPr>
          <w:rFonts w:ascii="Times New Roman" w:hAnsi="Times New Roman"/>
          <w:sz w:val="20"/>
          <w:u w:val="single"/>
        </w:rPr>
        <w:t>Section 6.03(e)</w:t>
      </w:r>
      <w:r>
        <w:rPr>
          <w:rFonts w:ascii="Times New Roman" w:hAnsi="Times New Roman"/>
          <w:sz w:val="20"/>
        </w:rPr>
        <w:t xml:space="preserve"> in the subsequent fiscal year on a dollar-for-dollar basis); </w:t>
      </w:r>
    </w:p>
    <w:p>
      <w:pPr>
        <w:pStyle w:val="TextBody"/>
        <w:bidi w:val="0"/>
        <w:spacing w:before="240" w:after="0"/>
        <w:jc w:val="left"/>
        <w:rPr>
          <w:rFonts w:ascii="Times New Roman" w:hAnsi="Times New Roman"/>
          <w:sz w:val="20"/>
        </w:rPr>
      </w:pPr>
      <w:r>
        <w:rPr>
          <w:rFonts w:ascii="Times New Roman" w:hAnsi="Times New Roman"/>
          <w:sz w:val="20"/>
        </w:rPr>
        <w:t xml:space="preserve">(f) Investments (i) by any Group Member in a Note Party, (ii) by any Group Member that is not a Note Party in any other Group Member and (iii) by any Note Party in any Restricted Subsidiary that is not a Note Party; </w:t>
      </w:r>
      <w:r>
        <w:rPr>
          <w:rFonts w:ascii="Times New Roman" w:hAnsi="Times New Roman"/>
          <w:i/>
          <w:sz w:val="20"/>
        </w:rPr>
        <w:t>provided</w:t>
      </w:r>
      <w:r>
        <w:rPr>
          <w:rFonts w:ascii="Times New Roman" w:hAnsi="Times New Roman"/>
          <w:sz w:val="20"/>
        </w:rPr>
        <w:t xml:space="preserve">, that, the amount of Investments pursuant to </w:t>
      </w:r>
      <w:r>
        <w:rPr>
          <w:rFonts w:ascii="Times New Roman" w:hAnsi="Times New Roman"/>
          <w:sz w:val="20"/>
          <w:u w:val="single"/>
        </w:rPr>
        <w:t>clause (iii)</w:t>
      </w:r>
      <w:r>
        <w:rPr>
          <w:rFonts w:ascii="Times New Roman" w:hAnsi="Times New Roman"/>
          <w:sz w:val="20"/>
        </w:rPr>
        <w:t xml:space="preserve"> of this </w:t>
      </w:r>
      <w:r>
        <w:rPr>
          <w:rFonts w:ascii="Times New Roman" w:hAnsi="Times New Roman"/>
          <w:sz w:val="20"/>
          <w:u w:val="single"/>
        </w:rPr>
        <w:t>Section 6.03(f)</w:t>
      </w:r>
      <w:r>
        <w:rPr>
          <w:rFonts w:ascii="Times New Roman" w:hAnsi="Times New Roman"/>
          <w:sz w:val="20"/>
        </w:rPr>
        <w:t xml:space="preserve"> shall not exceed the greater of $5,000,000 and ten percent (10%) of Consolidated EBITDA for the most recently ended Test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investments in Restricted Subsidiaries that are not Note Parties may be made pursuant to </w:t>
      </w:r>
      <w:r>
        <w:rPr>
          <w:rFonts w:ascii="Times New Roman" w:hAnsi="Times New Roman"/>
          <w:sz w:val="20"/>
          <w:u w:val="single"/>
        </w:rPr>
        <w:t>Section 6.03(i)</w:t>
      </w:r>
      <w:r>
        <w:rPr>
          <w:rFonts w:ascii="Times New Roman" w:hAnsi="Times New Roman"/>
          <w:sz w:val="20"/>
        </w:rPr>
        <w:t xml:space="preserve"> hereof and shall not reduce availability hereunder, so long as the non-Guarantor Investment basket for Permitted Acquisitions contained in the definition thereof is charged (without double counting) for the full amount of such Investment by operation of the acquisition of a non-Guarantor with the proceeds of such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Investments in securities or other assets of trade creditors or customers in the ordinary course of business received in settlement of </w:t>
      </w:r>
      <w:r>
        <w:rPr>
          <w:rFonts w:ascii="Times New Roman" w:hAnsi="Times New Roman"/>
          <w:i/>
          <w:sz w:val="20"/>
        </w:rPr>
        <w:t>bona fide</w:t>
      </w:r>
      <w:r>
        <w:rPr>
          <w:rFonts w:ascii="Times New Roman" w:hAnsi="Times New Roman"/>
          <w:sz w:val="20"/>
        </w:rPr>
        <w:t xml:space="preserve"> disputes or upon foreclosure or pursuant to any plan of reorganization or liquidation or similar arrangement upon the bankruptcy or insolvency of such trade creditors or customers; </w:t>
      </w:r>
    </w:p>
    <w:p>
      <w:pPr>
        <w:pStyle w:val="TextBody"/>
        <w:bidi w:val="0"/>
        <w:spacing w:before="240" w:after="0"/>
        <w:jc w:val="left"/>
        <w:rPr>
          <w:rFonts w:ascii="Times New Roman" w:hAnsi="Times New Roman"/>
          <w:sz w:val="20"/>
        </w:rPr>
      </w:pPr>
      <w:r>
        <w:rPr>
          <w:rFonts w:ascii="Times New Roman" w:hAnsi="Times New Roman"/>
          <w:sz w:val="20"/>
        </w:rPr>
        <w:t xml:space="preserve">(h) Investments held by any Group Member as a result of consideration received in connection with an Asset Sale or other disposition made in compliance with </w:t>
      </w:r>
      <w:r>
        <w:rPr>
          <w:rFonts w:ascii="Times New Roman" w:hAnsi="Times New Roman"/>
          <w:sz w:val="20"/>
          <w:u w:val="single"/>
        </w:rPr>
        <w:t>Section 6.05</w:t>
      </w:r>
      <w:r>
        <w:rPr>
          <w:rFonts w:ascii="Times New Roman" w:hAnsi="Times New Roman"/>
          <w:sz w:val="20"/>
        </w:rPr>
        <w:t xml:space="preserve"> (other than </w:t>
      </w:r>
      <w:r>
        <w:rPr>
          <w:rFonts w:ascii="Times New Roman" w:hAnsi="Times New Roman"/>
          <w:sz w:val="20"/>
          <w:u w:val="single"/>
        </w:rPr>
        <w:t>Section 6.05(e)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Permitted Acquisitions and Investments by any Group Member in any other Group Member that is not a Note Party in order to consummate such Permitted Acquisitions; </w:t>
      </w:r>
    </w:p>
    <w:p>
      <w:pPr>
        <w:pStyle w:val="TextBody"/>
        <w:bidi w:val="0"/>
        <w:spacing w:before="240" w:after="0"/>
        <w:jc w:val="left"/>
        <w:rPr>
          <w:rFonts w:ascii="Times New Roman" w:hAnsi="Times New Roman"/>
          <w:sz w:val="20"/>
        </w:rPr>
      </w:pPr>
      <w:r>
        <w:rPr>
          <w:rFonts w:ascii="Times New Roman" w:hAnsi="Times New Roman"/>
          <w:sz w:val="20"/>
        </w:rPr>
        <w:t xml:space="preserve">(j) pledges and deposits permitted under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loans that could otherwise be made as a distribution permitted under </w:t>
      </w:r>
      <w:r>
        <w:rPr>
          <w:rFonts w:ascii="Times New Roman" w:hAnsi="Times New Roman"/>
          <w:sz w:val="20"/>
          <w:u w:val="single"/>
        </w:rPr>
        <w:t>Section 6.06</w:t>
      </w:r>
      <w:r>
        <w:rPr>
          <w:rFonts w:ascii="Times New Roman" w:hAnsi="Times New Roman"/>
          <w:sz w:val="20"/>
        </w:rPr>
        <w:t xml:space="preserve"> (with a commensurate dollar-for-dollar reduction of their ability to make additional distributions under such </w:t>
      </w:r>
      <w:r>
        <w:rPr>
          <w:rFonts w:ascii="Times New Roman" w:hAnsi="Times New Roman"/>
          <w:sz w:val="20"/>
          <w:u w:val="single"/>
        </w:rPr>
        <w:t>Section 6.06</w:t>
      </w:r>
      <w:r>
        <w:rPr>
          <w:rFonts w:ascii="Times New Roman" w:hAnsi="Times New Roman"/>
          <w:sz w:val="20"/>
        </w:rPr>
        <w:t xml:space="preserve">, for so long as such loan remains outstanding); </w:t>
      </w:r>
    </w:p>
    <w:p>
      <w:pPr>
        <w:pStyle w:val="TextBody"/>
        <w:bidi w:val="0"/>
        <w:spacing w:before="240" w:after="0"/>
        <w:jc w:val="left"/>
        <w:rPr>
          <w:rFonts w:ascii="Times New Roman" w:hAnsi="Times New Roman"/>
          <w:sz w:val="20"/>
        </w:rPr>
      </w:pPr>
      <w:r>
        <w:rPr>
          <w:rFonts w:ascii="Times New Roman" w:hAnsi="Times New Roman"/>
          <w:sz w:val="20"/>
        </w:rPr>
        <w:t xml:space="preserve">(l) Investments consisting of earnest money deposits required in connection with a Permitted Acquisition or other permitted Investment; </w:t>
      </w:r>
    </w:p>
    <w:p>
      <w:pPr>
        <w:pStyle w:val="TextBody"/>
        <w:bidi w:val="0"/>
        <w:spacing w:before="240" w:after="0"/>
        <w:jc w:val="left"/>
        <w:rPr>
          <w:rFonts w:ascii="Times New Roman" w:hAnsi="Times New Roman"/>
          <w:sz w:val="20"/>
        </w:rPr>
      </w:pPr>
      <w:r>
        <w:rPr>
          <w:rFonts w:ascii="Times New Roman" w:hAnsi="Times New Roman"/>
          <w:sz w:val="20"/>
        </w:rPr>
        <w:t xml:space="preserve">(m) Investments of any Person existing at the time such Person becomes a Restricted Subsidiary or consolidates, amalgamates or merges with any Group Member (including in connection with a Permitted Acquisition), so long as such investments were not made in contemplation of such Person becoming a Restricted Subsidiary or of such consolidation, amalgamation or merger;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clause (m)</w:t>
      </w:r>
      <w:r>
        <w:rPr>
          <w:rFonts w:ascii="Times New Roman" w:hAnsi="Times New Roman"/>
          <w:sz w:val="20"/>
        </w:rPr>
        <w:t xml:space="preserve"> is intended solely to grandfather such Investments as are indirectly acquired as a result of an acquisition of a Person otherwise permitted hereunder and any consideration paid in connection with such acquisition that may be allocable to such Investments that consist of Restricted Subsidiaries that are not Note Parties must be permitted by, and be taken into account in computing compliance with, any basket amounts or limitations applicable to such acquisition hereunder; </w:t>
      </w:r>
    </w:p>
    <w:p>
      <w:pPr>
        <w:pStyle w:val="TextBody"/>
        <w:bidi w:val="0"/>
        <w:spacing w:before="240" w:after="0"/>
        <w:jc w:val="left"/>
        <w:rPr>
          <w:rFonts w:ascii="Times New Roman" w:hAnsi="Times New Roman"/>
          <w:sz w:val="20"/>
        </w:rPr>
      </w:pPr>
      <w:r>
        <w:rPr>
          <w:rFonts w:ascii="Times New Roman" w:hAnsi="Times New Roman"/>
          <w:sz w:val="20"/>
        </w:rPr>
        <w:t xml:space="preserve">(n) Contingent Obligations and other Indebtedness permitted by </w:t>
      </w:r>
      <w:r>
        <w:rPr>
          <w:rFonts w:ascii="Times New Roman" w:hAnsi="Times New Roman"/>
          <w:sz w:val="20"/>
          <w:u w:val="single"/>
        </w:rPr>
        <w:t>Section 6.01</w:t>
      </w:r>
      <w:r>
        <w:rPr>
          <w:rFonts w:ascii="Times New Roman" w:hAnsi="Times New Roman"/>
          <w:sz w:val="20"/>
        </w:rPr>
        <w:t xml:space="preserve"> (other than </w:t>
      </w:r>
      <w:r>
        <w:rPr>
          <w:rFonts w:ascii="Times New Roman" w:hAnsi="Times New Roman"/>
          <w:sz w:val="20"/>
          <w:u w:val="single"/>
        </w:rPr>
        <w:t>Section 6.01(g)(ii)</w:t>
      </w:r>
      <w:r>
        <w:rPr>
          <w:rFonts w:ascii="Times New Roman" w:hAnsi="Times New Roman"/>
          <w:sz w:val="20"/>
        </w:rPr>
        <w:t xml:space="preserve"> and </w:t>
      </w:r>
      <w:r>
        <w:rPr>
          <w:rFonts w:ascii="Times New Roman" w:hAnsi="Times New Roman"/>
          <w:sz w:val="20"/>
          <w:u w:val="single"/>
        </w:rPr>
        <w:t>6.01(l)</w:t>
      </w:r>
      <w:r>
        <w:rPr>
          <w:rFonts w:ascii="Times New Roman" w:hAnsi="Times New Roman"/>
          <w:sz w:val="20"/>
        </w:rPr>
        <w:t xml:space="preserve">), performance guarantees, and transactions permitted under </w:t>
      </w:r>
      <w:r>
        <w:rPr>
          <w:rFonts w:ascii="Times New Roman" w:hAnsi="Times New Roman"/>
          <w:sz w:val="20"/>
          <w:u w:val="single"/>
        </w:rPr>
        <w:t>Section 6.04</w:t>
      </w:r>
      <w:r>
        <w:rPr>
          <w:rFonts w:ascii="Times New Roman" w:hAnsi="Times New Roman"/>
          <w:sz w:val="20"/>
        </w:rPr>
        <w:t xml:space="preserve"> (other than </w:t>
      </w:r>
      <w:r>
        <w:rPr>
          <w:rFonts w:ascii="Times New Roman" w:hAnsi="Times New Roman"/>
          <w:sz w:val="20"/>
          <w:u w:val="single"/>
        </w:rPr>
        <w:t>Section 6.04(b)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redemptions, repurchases or acquisitions of Indebtedness of any Group Member to the extent not prohibited by </w:t>
      </w:r>
      <w:r>
        <w:rPr>
          <w:rFonts w:ascii="Times New Roman" w:hAnsi="Times New Roman"/>
          <w:sz w:val="20"/>
          <w:u w:val="single"/>
        </w:rPr>
        <w:t>Section 6.09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 (i) Investments in deposit and investment accounts (including, for the avoidance of doubt, eurocurrency investment accounts) opened in the ordinary course of business with financial institutions and (ii) any Investment in any Subsidiary or any joint venture in connection with intercompany cash management arrangements or related activities arising in the ordinary course of business or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unsecured intercompany advances by any Group Member to Issuer for purposes and in amounts that would otherwise be permitted to be made as Dividends to Issuer pursuant to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Investments to the extent constituting the reinvestment of the Net Cash Proceeds arising from Casualty Events to repair, replace or restore any property in respect of which such Net Cash Proceeds were paid; </w:t>
      </w:r>
    </w:p>
    <w:p>
      <w:pPr>
        <w:pStyle w:val="TextBody"/>
        <w:bidi w:val="0"/>
        <w:spacing w:before="240" w:after="0"/>
        <w:jc w:val="left"/>
        <w:rPr>
          <w:rFonts w:ascii="Times New Roman" w:hAnsi="Times New Roman"/>
          <w:sz w:val="20"/>
        </w:rPr>
      </w:pPr>
      <w:r>
        <w:rPr>
          <w:rFonts w:ascii="Times New Roman" w:hAnsi="Times New Roman"/>
          <w:sz w:val="20"/>
        </w:rPr>
        <w:t xml:space="preserve">(s) Investments in Unrestricted Subsidiaries; </w:t>
      </w:r>
      <w:r>
        <w:rPr>
          <w:rFonts w:ascii="Times New Roman" w:hAnsi="Times New Roman"/>
          <w:i/>
          <w:sz w:val="20"/>
        </w:rPr>
        <w:t>provided</w:t>
      </w:r>
      <w:r>
        <w:rPr>
          <w:rFonts w:ascii="Times New Roman" w:hAnsi="Times New Roman"/>
          <w:sz w:val="20"/>
        </w:rPr>
        <w:t xml:space="preserve">, that, the aggregate amount of such Investments outstanding at any time under this </w:t>
      </w:r>
      <w:r>
        <w:rPr>
          <w:rFonts w:ascii="Times New Roman" w:hAnsi="Times New Roman"/>
          <w:sz w:val="20"/>
          <w:u w:val="single"/>
        </w:rPr>
        <w:t>clause (s)</w:t>
      </w:r>
      <w:r>
        <w:rPr>
          <w:rFonts w:ascii="Times New Roman" w:hAnsi="Times New Roman"/>
          <w:sz w:val="20"/>
        </w:rPr>
        <w:t xml:space="preserve">, </w:t>
      </w:r>
      <w:r>
        <w:rPr>
          <w:rFonts w:ascii="Times New Roman" w:hAnsi="Times New Roman"/>
          <w:sz w:val="20"/>
          <w:u w:val="single"/>
        </w:rPr>
        <w:t>clause (w)</w:t>
      </w:r>
      <w:r>
        <w:rPr>
          <w:rFonts w:ascii="Times New Roman" w:hAnsi="Times New Roman"/>
          <w:sz w:val="20"/>
        </w:rPr>
        <w:t xml:space="preserve"> and </w:t>
      </w:r>
      <w:r>
        <w:rPr>
          <w:rFonts w:ascii="Times New Roman" w:hAnsi="Times New Roman"/>
          <w:sz w:val="20"/>
          <w:u w:val="single"/>
        </w:rPr>
        <w:t>clause (ff)</w:t>
      </w:r>
      <w:r>
        <w:rPr>
          <w:rFonts w:ascii="Times New Roman" w:hAnsi="Times New Roman"/>
          <w:sz w:val="20"/>
        </w:rPr>
        <w:t xml:space="preserve"> of this </w:t>
      </w:r>
      <w:r>
        <w:rPr>
          <w:rFonts w:ascii="Times New Roman" w:hAnsi="Times New Roman"/>
          <w:sz w:val="20"/>
          <w:u w:val="single"/>
        </w:rPr>
        <w:t>Section 6.03</w:t>
      </w:r>
      <w:r>
        <w:rPr>
          <w:rFonts w:ascii="Times New Roman" w:hAnsi="Times New Roman"/>
          <w:sz w:val="20"/>
        </w:rPr>
        <w:t xml:space="preserve"> shall not exceed $10,000,000; </w:t>
      </w:r>
    </w:p>
    <w:p>
      <w:pPr>
        <w:pStyle w:val="TextBody"/>
        <w:bidi w:val="0"/>
        <w:spacing w:before="240" w:after="0"/>
        <w:jc w:val="left"/>
        <w:rPr>
          <w:rFonts w:ascii="Times New Roman" w:hAnsi="Times New Roman"/>
          <w:sz w:val="20"/>
        </w:rPr>
      </w:pPr>
      <w:r>
        <w:rPr>
          <w:rFonts w:ascii="Times New Roman" w:hAnsi="Times New Roman"/>
          <w:sz w:val="20"/>
        </w:rPr>
        <w:t xml:space="preserve">(t) purchases and other acquisitions of inventory, materials, equipment, intangible property and other assets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(u) (i) leases and subleases of real or personal property and (ii) licenses and sublicenses of Intellectual Property permitted under </w:t>
      </w:r>
      <w:r>
        <w:rPr>
          <w:rFonts w:ascii="Times New Roman" w:hAnsi="Times New Roman"/>
          <w:sz w:val="20"/>
          <w:u w:val="single"/>
        </w:rPr>
        <w:t>Section 6.02(o)</w:t>
      </w:r>
      <w:r>
        <w:rPr>
          <w:rFonts w:ascii="Times New Roman" w:hAnsi="Times New Roman"/>
          <w:sz w:val="20"/>
        </w:rPr>
        <w:t xml:space="preserve"> and other personal property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Investments to the extent that payment for such Investments is made solely with cash contributions from the issuance of Equity Interests (other than Disqualified Capital Stock) of Issuer after the Closing Date, which are contributed as cash common equity to the Issuer and Not Otherwise Applied; </w:t>
      </w:r>
    </w:p>
    <w:p>
      <w:pPr>
        <w:pStyle w:val="TextBody"/>
        <w:bidi w:val="0"/>
        <w:spacing w:before="240" w:after="0"/>
        <w:jc w:val="left"/>
        <w:rPr>
          <w:rFonts w:ascii="Times New Roman" w:hAnsi="Times New Roman"/>
          <w:sz w:val="20"/>
        </w:rPr>
      </w:pPr>
      <w:r>
        <w:rPr>
          <w:rFonts w:ascii="Times New Roman" w:hAnsi="Times New Roman"/>
          <w:sz w:val="20"/>
        </w:rPr>
        <w:t xml:space="preserve">(w) Investments in joint ventures of any Group Member; </w:t>
      </w:r>
      <w:r>
        <w:rPr>
          <w:rFonts w:ascii="Times New Roman" w:hAnsi="Times New Roman"/>
          <w:i/>
          <w:sz w:val="20"/>
        </w:rPr>
        <w:t>provided</w:t>
      </w:r>
      <w:r>
        <w:rPr>
          <w:rFonts w:ascii="Times New Roman" w:hAnsi="Times New Roman"/>
          <w:sz w:val="20"/>
        </w:rPr>
        <w:t xml:space="preserve">, that, the aggregate amount of such Investments outstanding at any time under </w:t>
      </w:r>
      <w:r>
        <w:rPr>
          <w:rFonts w:ascii="Times New Roman" w:hAnsi="Times New Roman"/>
          <w:sz w:val="20"/>
          <w:u w:val="single"/>
        </w:rPr>
        <w:t>clause (s)</w:t>
      </w:r>
      <w:r>
        <w:rPr>
          <w:rFonts w:ascii="Times New Roman" w:hAnsi="Times New Roman"/>
          <w:sz w:val="20"/>
        </w:rPr>
        <w:t xml:space="preserve">, this </w:t>
      </w:r>
      <w:r>
        <w:rPr>
          <w:rFonts w:ascii="Times New Roman" w:hAnsi="Times New Roman"/>
          <w:sz w:val="20"/>
          <w:u w:val="single"/>
        </w:rPr>
        <w:t>clause (w)</w:t>
      </w:r>
      <w:r>
        <w:rPr>
          <w:rFonts w:ascii="Times New Roman" w:hAnsi="Times New Roman"/>
          <w:sz w:val="20"/>
        </w:rPr>
        <w:t xml:space="preserve"> and </w:t>
      </w:r>
      <w:r>
        <w:rPr>
          <w:rFonts w:ascii="Times New Roman" w:hAnsi="Times New Roman"/>
          <w:sz w:val="20"/>
          <w:u w:val="single"/>
        </w:rPr>
        <w:t>clause (ff)</w:t>
      </w:r>
      <w:r>
        <w:rPr>
          <w:rFonts w:ascii="Times New Roman" w:hAnsi="Times New Roman"/>
          <w:sz w:val="20"/>
        </w:rPr>
        <w:t xml:space="preserve"> of this </w:t>
      </w:r>
      <w:r>
        <w:rPr>
          <w:rFonts w:ascii="Times New Roman" w:hAnsi="Times New Roman"/>
          <w:sz w:val="20"/>
          <w:u w:val="single"/>
        </w:rPr>
        <w:t>Section 6.03</w:t>
      </w:r>
      <w:r>
        <w:rPr>
          <w:rFonts w:ascii="Times New Roman" w:hAnsi="Times New Roman"/>
          <w:sz w:val="20"/>
        </w:rPr>
        <w:t xml:space="preserve"> shall not exceed $10,000,000; </w:t>
      </w:r>
    </w:p>
    <w:p>
      <w:pPr>
        <w:pStyle w:val="TextBody"/>
        <w:bidi w:val="0"/>
        <w:spacing w:before="240" w:after="0"/>
        <w:jc w:val="left"/>
        <w:rPr>
          <w:rFonts w:ascii="Times New Roman" w:hAnsi="Times New Roman"/>
          <w:sz w:val="20"/>
        </w:rPr>
      </w:pPr>
      <w:r>
        <w:rPr>
          <w:rFonts w:ascii="Times New Roman" w:hAnsi="Times New Roman"/>
          <w:sz w:val="20"/>
        </w:rPr>
        <w:t xml:space="preserve">(x) Investments in an aggregate amount not to exceed the Cumulative Amount; </w:t>
      </w:r>
      <w:r>
        <w:rPr>
          <w:rFonts w:ascii="Times New Roman" w:hAnsi="Times New Roman"/>
          <w:i/>
          <w:sz w:val="20"/>
        </w:rPr>
        <w:t>provided</w:t>
      </w:r>
      <w:r>
        <w:rPr>
          <w:rFonts w:ascii="Times New Roman" w:hAnsi="Times New Roman"/>
          <w:sz w:val="20"/>
        </w:rPr>
        <w:t xml:space="preserve">, that, (i) no Event of Default shall have occurred and be continuing at the time of the making of such Investment or would immediately result therefrom, (ii) on a Pro Forma Basis, the Total Net Leverage Ratio as of the Applicable Date of Determination and for the most recently ended Test Period shall be no greater than 2.00 to 1.00, and (iii) any Limited Condition Acquisition remains subject to the terms of </w:t>
      </w:r>
      <w:r>
        <w:rPr>
          <w:rFonts w:ascii="Times New Roman" w:hAnsi="Times New Roman"/>
          <w:sz w:val="20"/>
          <w:u w:val="single"/>
        </w:rPr>
        <w:t>Section 1.06</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(y) other Investments in an aggregate amount at any time not to exceed $10,000,000, </w:t>
      </w:r>
      <w:r>
        <w:rPr>
          <w:rFonts w:ascii="Times New Roman" w:hAnsi="Times New Roman"/>
          <w:i/>
          <w:sz w:val="20"/>
        </w:rPr>
        <w:t>plus</w:t>
      </w:r>
      <w:r>
        <w:rPr>
          <w:rFonts w:ascii="Times New Roman" w:hAnsi="Times New Roman"/>
          <w:sz w:val="20"/>
        </w:rPr>
        <w:t xml:space="preserve"> the aggregate total of all other amounts available as a Restricted Debt Payment under </w:t>
      </w:r>
      <w:r>
        <w:rPr>
          <w:rFonts w:ascii="Times New Roman" w:hAnsi="Times New Roman"/>
          <w:sz w:val="20"/>
          <w:u w:val="single"/>
        </w:rPr>
        <w:t>Section 6.09(a)(viii)</w:t>
      </w:r>
      <w:r>
        <w:rPr>
          <w:rFonts w:ascii="Times New Roman" w:hAnsi="Times New Roman"/>
          <w:sz w:val="20"/>
        </w:rPr>
        <w:t xml:space="preserve">, which the Issuer may elect to re-allocate to the making of Investments pursuant to this </w:t>
      </w:r>
      <w:r>
        <w:rPr>
          <w:rFonts w:ascii="Times New Roman" w:hAnsi="Times New Roman"/>
          <w:sz w:val="20"/>
          <w:u w:val="single"/>
        </w:rPr>
        <w:t>Section 6.03(y)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(z) to the extent constituting Investments, advances in respect of transfer pricing and cost-sharing arrangements (</w:t>
      </w:r>
      <w:r>
        <w:rPr>
          <w:rFonts w:ascii="Times New Roman" w:hAnsi="Times New Roman"/>
          <w:i/>
          <w:sz w:val="20"/>
        </w:rPr>
        <w:t>i.e.</w:t>
      </w:r>
      <w:r>
        <w:rPr>
          <w:rFonts w:ascii="Times New Roman" w:hAnsi="Times New Roman"/>
          <w:sz w:val="20"/>
        </w:rPr>
        <w:t xml:space="preserve">, “cost-plus” arrangements) that are (i) in the ordinary course of business and consistent with the Group Members’ historical practices and (ii) funded not more than one hundred twenty (120) days in advance of the applicable transfer pricing and cost-sharing payment; </w:t>
      </w:r>
    </w:p>
    <w:p>
      <w:pPr>
        <w:pStyle w:val="TextBody"/>
        <w:bidi w:val="0"/>
        <w:spacing w:before="240" w:after="0"/>
        <w:jc w:val="left"/>
        <w:rPr>
          <w:rFonts w:ascii="Times New Roman" w:hAnsi="Times New Roman"/>
          <w:sz w:val="20"/>
        </w:rPr>
      </w:pPr>
      <w:r>
        <w:rPr>
          <w:rFonts w:ascii="Times New Roman" w:hAnsi="Times New Roman"/>
          <w:sz w:val="20"/>
        </w:rPr>
        <w:t xml:space="preserve">(aa) advances of payroll payments to employees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[reserved]; </w:t>
      </w:r>
    </w:p>
    <w:p>
      <w:pPr>
        <w:pStyle w:val="TextBody"/>
        <w:bidi w:val="0"/>
        <w:spacing w:before="240" w:after="0"/>
        <w:jc w:val="left"/>
        <w:rPr>
          <w:rFonts w:ascii="Times New Roman" w:hAnsi="Times New Roman"/>
          <w:sz w:val="20"/>
        </w:rPr>
      </w:pPr>
      <w:r>
        <w:rPr>
          <w:rFonts w:ascii="Times New Roman" w:hAnsi="Times New Roman"/>
          <w:sz w:val="20"/>
        </w:rPr>
        <w:t xml:space="preserve">(cc) Investments in the ordinary course of business (i) consisting of customary trade arrangements with customers consistent with past practices and (ii) in connection with obtaining, maintaining or renewing client contracts and loans or advances made to distributors; </w:t>
      </w:r>
    </w:p>
    <w:p>
      <w:pPr>
        <w:pStyle w:val="TextBody"/>
        <w:bidi w:val="0"/>
        <w:spacing w:before="240" w:after="0"/>
        <w:jc w:val="left"/>
        <w:rPr>
          <w:rFonts w:ascii="Times New Roman" w:hAnsi="Times New Roman"/>
          <w:sz w:val="20"/>
        </w:rPr>
      </w:pPr>
      <w:r>
        <w:rPr>
          <w:rFonts w:ascii="Times New Roman" w:hAnsi="Times New Roman"/>
          <w:sz w:val="20"/>
        </w:rPr>
        <w:t xml:space="preserve">(dd) [reserved]; </w:t>
      </w:r>
    </w:p>
    <w:p>
      <w:pPr>
        <w:pStyle w:val="TextBody"/>
        <w:bidi w:val="0"/>
        <w:spacing w:before="240" w:after="0"/>
        <w:jc w:val="left"/>
        <w:rPr>
          <w:rFonts w:ascii="Times New Roman" w:hAnsi="Times New Roman"/>
          <w:sz w:val="20"/>
        </w:rPr>
      </w:pPr>
      <w:r>
        <w:rPr>
          <w:rFonts w:ascii="Times New Roman" w:hAnsi="Times New Roman"/>
          <w:sz w:val="20"/>
        </w:rPr>
        <w:t xml:space="preserve">(ee) Investments resulting from the exercise of drag-along rights, put-rights, call-rights or similar rights under joint venture or similar documents; and </w:t>
      </w:r>
    </w:p>
    <w:p>
      <w:pPr>
        <w:pStyle w:val="TextBody"/>
        <w:bidi w:val="0"/>
        <w:spacing w:before="240" w:after="0"/>
        <w:jc w:val="left"/>
        <w:rPr>
          <w:rFonts w:ascii="Times New Roman" w:hAnsi="Times New Roman"/>
          <w:sz w:val="20"/>
        </w:rPr>
      </w:pPr>
      <w:r>
        <w:rPr>
          <w:rFonts w:ascii="Times New Roman" w:hAnsi="Times New Roman"/>
          <w:sz w:val="20"/>
        </w:rPr>
        <w:t xml:space="preserve">(ff) Investments in similar businesses; </w:t>
      </w:r>
      <w:r>
        <w:rPr>
          <w:rFonts w:ascii="Times New Roman" w:hAnsi="Times New Roman"/>
          <w:i/>
          <w:sz w:val="20"/>
        </w:rPr>
        <w:t>provided</w:t>
      </w:r>
      <w:r>
        <w:rPr>
          <w:rFonts w:ascii="Times New Roman" w:hAnsi="Times New Roman"/>
          <w:sz w:val="20"/>
        </w:rPr>
        <w:t xml:space="preserve">, that, the aggregate amount of such Investments outstanding at any time under this </w:t>
      </w:r>
      <w:r>
        <w:rPr>
          <w:rFonts w:ascii="Times New Roman" w:hAnsi="Times New Roman"/>
          <w:sz w:val="20"/>
          <w:u w:val="single"/>
        </w:rPr>
        <w:t>clause (ff)</w:t>
      </w:r>
      <w:r>
        <w:rPr>
          <w:rFonts w:ascii="Times New Roman" w:hAnsi="Times New Roman"/>
          <w:sz w:val="20"/>
        </w:rPr>
        <w:t xml:space="preserve">, </w:t>
      </w:r>
      <w:r>
        <w:rPr>
          <w:rFonts w:ascii="Times New Roman" w:hAnsi="Times New Roman"/>
          <w:sz w:val="20"/>
          <w:u w:val="single"/>
        </w:rPr>
        <w:t>clause (s)</w:t>
      </w:r>
      <w:r>
        <w:rPr>
          <w:rFonts w:ascii="Times New Roman" w:hAnsi="Times New Roman"/>
          <w:sz w:val="20"/>
        </w:rPr>
        <w:t xml:space="preserve"> and </w:t>
      </w:r>
      <w:r>
        <w:rPr>
          <w:rFonts w:ascii="Times New Roman" w:hAnsi="Times New Roman"/>
          <w:sz w:val="20"/>
          <w:u w:val="single"/>
        </w:rPr>
        <w:t>clause (w)</w:t>
      </w:r>
      <w:r>
        <w:rPr>
          <w:rFonts w:ascii="Times New Roman" w:hAnsi="Times New Roman"/>
          <w:sz w:val="20"/>
        </w:rPr>
        <w:t xml:space="preserve"> of this </w:t>
      </w:r>
      <w:r>
        <w:rPr>
          <w:rFonts w:ascii="Times New Roman" w:hAnsi="Times New Roman"/>
          <w:sz w:val="20"/>
          <w:u w:val="single"/>
        </w:rPr>
        <w:t>Section 6.03</w:t>
      </w:r>
      <w:r>
        <w:rPr>
          <w:rFonts w:ascii="Times New Roman" w:hAnsi="Times New Roman"/>
          <w:sz w:val="20"/>
        </w:rPr>
        <w:t xml:space="preserve"> shall in an aggregate amount outstanding at any time not to exceed $10,000,000.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 shall be the initial amount of such Investment less all returns of principal, capital, Dividends and other cash returns therefrom (including, without limitation, any repayments, interest, returns, profits, distributions, income or similar amounts received in cash in respect of any Investment in any Unrestricted Subsidiary and the designation thereof) and less all liabilities expressly assumed by another person in connection with the sale of such Investment; </w:t>
      </w:r>
      <w:r>
        <w:rPr>
          <w:rFonts w:ascii="Times New Roman" w:hAnsi="Times New Roman"/>
          <w:i/>
          <w:sz w:val="20"/>
        </w:rPr>
        <w:t>provided</w:t>
      </w:r>
      <w:r>
        <w:rPr>
          <w:rFonts w:ascii="Times New Roman" w:hAnsi="Times New Roman"/>
          <w:sz w:val="20"/>
        </w:rPr>
        <w:t xml:space="preserve">, that, any reduction in the initial amount of such Investment (including upon the re-designation of an Unrestricted Subsidiary as a Restricted Subsidiary) shall be without duplication of any increase in the Cumulative Amount. Notwithstanding anything to the contrary set forth in this Indenture, (i) no Investments shall be made in, and no Subsidiaries shall be designated as, Unrestricted Subsidiaries pursuant to this </w:t>
      </w:r>
      <w:r>
        <w:rPr>
          <w:rFonts w:ascii="Times New Roman" w:hAnsi="Times New Roman"/>
          <w:sz w:val="20"/>
          <w:u w:val="single"/>
        </w:rPr>
        <w:t>Section 6.03</w:t>
      </w:r>
      <w:r>
        <w:rPr>
          <w:rFonts w:ascii="Times New Roman" w:hAnsi="Times New Roman"/>
          <w:sz w:val="20"/>
        </w:rPr>
        <w:t xml:space="preserve"> except pursuant to </w:t>
      </w:r>
      <w:r>
        <w:rPr>
          <w:rFonts w:ascii="Times New Roman" w:hAnsi="Times New Roman"/>
          <w:sz w:val="20"/>
          <w:u w:val="single"/>
        </w:rPr>
        <w:t>Section 6.03(s)</w:t>
      </w:r>
      <w:r>
        <w:rPr>
          <w:rFonts w:ascii="Times New Roman" w:hAnsi="Times New Roman"/>
          <w:sz w:val="20"/>
        </w:rPr>
        <w:t xml:space="preserve"> and (ii) no Restricted Subsidiary that is not a Note Party may own or hold, and none of the Issuer or any of the Restricted Subsidiaries may transfer (including by granting an exclusive license), sell, dispose or contribute to any such Restricted Subsidiary, any asset that is material to the business of the Issuer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Mergers and Consolidations</w:t>
      </w:r>
      <w:r>
        <w:rPr>
          <w:rFonts w:ascii="Times New Roman" w:hAnsi="Times New Roman"/>
          <w:sz w:val="20"/>
        </w:rPr>
        <w:t xml:space="preserve">. Wind up, liquidate or dissolve its affairs, consummate a merger or consolidation or sell, transfer, lease or otherwise dispose of (whether in one transaction or in a series of transactions) all or substantially all of its assets, except that the following shall be permitted: </w:t>
      </w:r>
    </w:p>
    <w:p>
      <w:pPr>
        <w:pStyle w:val="TextBody"/>
        <w:bidi w:val="0"/>
        <w:spacing w:before="240" w:after="0"/>
        <w:jc w:val="left"/>
        <w:rPr>
          <w:rFonts w:ascii="Times New Roman" w:hAnsi="Times New Roman"/>
          <w:sz w:val="20"/>
        </w:rPr>
      </w:pPr>
      <w:r>
        <w:rPr>
          <w:rFonts w:ascii="Times New Roman" w:hAnsi="Times New Roman"/>
          <w:sz w:val="20"/>
        </w:rPr>
        <w:t xml:space="preserve">(a) Asset Sales or other dispositions in compliance with </w:t>
      </w:r>
      <w:r>
        <w:rPr>
          <w:rFonts w:ascii="Times New Roman" w:hAnsi="Times New Roman"/>
          <w:sz w:val="20"/>
          <w:u w:val="single"/>
        </w:rPr>
        <w:t>Section 6.05</w:t>
      </w:r>
      <w:r>
        <w:rPr>
          <w:rFonts w:ascii="Times New Roman" w:hAnsi="Times New Roman"/>
          <w:sz w:val="20"/>
        </w:rPr>
        <w:t xml:space="preserve"> (other than </w:t>
      </w:r>
      <w:r>
        <w:rPr>
          <w:rFonts w:ascii="Times New Roman" w:hAnsi="Times New Roman"/>
          <w:sz w:val="20"/>
          <w:u w:val="single"/>
        </w:rPr>
        <w:t>Section 6.05(d)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Investments permitted pursuant to </w:t>
      </w:r>
      <w:r>
        <w:rPr>
          <w:rFonts w:ascii="Times New Roman" w:hAnsi="Times New Roman"/>
          <w:sz w:val="20"/>
          <w:u w:val="single"/>
        </w:rPr>
        <w:t>Section 6.03</w:t>
      </w:r>
      <w:r>
        <w:rPr>
          <w:rFonts w:ascii="Times New Roman" w:hAnsi="Times New Roman"/>
          <w:sz w:val="20"/>
        </w:rPr>
        <w:t xml:space="preserve"> (other than </w:t>
      </w:r>
      <w:r>
        <w:rPr>
          <w:rFonts w:ascii="Times New Roman" w:hAnsi="Times New Roman"/>
          <w:sz w:val="20"/>
          <w:u w:val="single"/>
        </w:rPr>
        <w:t>Section 6.03(n)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 any Group Member (other than the Issuer) may merge or consolidate with or into the Issuer or any Subsidiary Guarantor (as long as the Issuer is the surviving person in the case of any merger or consolidation involving the Issuer, and such Subsidiary Guarantor is the surviving person in the case of any merger or consolidation involving such Subsidiary Guarantor (other than mergers or consolidations involving the Issuer)) and (ii) any Restricted Subsidiary (other than the Issuer) that is not a Guarantor may merge or consolidate with or into any other Restricted Subsidiary (other than the Issuer) that is not a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 merger or consolidation pursuant to, and in accordance with, the definition of “Permitted Acquisition” to the extent necessary to consummate such Permitted Acquisition; and </w:t>
      </w:r>
    </w:p>
    <w:p>
      <w:pPr>
        <w:pStyle w:val="TextBody"/>
        <w:bidi w:val="0"/>
        <w:spacing w:before="240" w:after="0"/>
        <w:jc w:val="left"/>
        <w:rPr>
          <w:rFonts w:ascii="Times New Roman" w:hAnsi="Times New Roman"/>
          <w:sz w:val="20"/>
        </w:rPr>
      </w:pPr>
      <w:r>
        <w:rPr>
          <w:rFonts w:ascii="Times New Roman" w:hAnsi="Times New Roman"/>
          <w:sz w:val="20"/>
        </w:rPr>
        <w:t xml:space="preserve">(e) any Restricted Subsidiary of the Issuer may dissolve, liquidate or wind up its affairs at any time; </w:t>
      </w:r>
      <w:r>
        <w:rPr>
          <w:rFonts w:ascii="Times New Roman" w:hAnsi="Times New Roman"/>
          <w:i/>
          <w:sz w:val="20"/>
        </w:rPr>
        <w:t>provided</w:t>
      </w:r>
      <w:r>
        <w:rPr>
          <w:rFonts w:ascii="Times New Roman" w:hAnsi="Times New Roman"/>
          <w:sz w:val="20"/>
        </w:rPr>
        <w:t xml:space="preserve">, that, such dissolution, liquidation or winding up, as applicable,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Asset Sales</w:t>
      </w:r>
      <w:r>
        <w:rPr>
          <w:rFonts w:ascii="Times New Roman" w:hAnsi="Times New Roman"/>
          <w:sz w:val="20"/>
        </w:rPr>
        <w:t xml:space="preserve">. Sell, lease, assign, transfer or otherwise dispose of any property, except that the following shall be permitted: </w:t>
      </w:r>
    </w:p>
    <w:p>
      <w:pPr>
        <w:pStyle w:val="TextBody"/>
        <w:bidi w:val="0"/>
        <w:spacing w:before="240" w:after="0"/>
        <w:jc w:val="left"/>
        <w:rPr>
          <w:rFonts w:ascii="Times New Roman" w:hAnsi="Times New Roman"/>
          <w:sz w:val="20"/>
        </w:rPr>
      </w:pPr>
      <w:r>
        <w:rPr>
          <w:rFonts w:ascii="Times New Roman" w:hAnsi="Times New Roman"/>
          <w:sz w:val="20"/>
        </w:rPr>
        <w:t xml:space="preserve">(a) (i) sales, transfers, leases, subleases and other dispositions of inventory in the ordinary course of business, property no longer used or useful in the business or worn out, or obsolete, uneconomical, negligible or surplus property by any Group Member in the ordinary course of business, (ii) the abandonment, allowance to lapse or other disposition of Intellectual Property that is, in the reasonable business judgment of the Issuer, immaterial or no longer economically practicable to maintain or (iii) sales, transfers, leases, subleases and other dispositions of property by any Group Member (including Intellectual Property) that is, in the reasonable business judgment of the Issuer, immaterial or no longer used or useful in the business; </w:t>
      </w:r>
    </w:p>
    <w:p>
      <w:pPr>
        <w:pStyle w:val="TextBody"/>
        <w:bidi w:val="0"/>
        <w:spacing w:before="240" w:after="0"/>
        <w:jc w:val="left"/>
        <w:rPr>
          <w:rFonts w:ascii="Times New Roman" w:hAnsi="Times New Roman"/>
          <w:sz w:val="20"/>
        </w:rPr>
      </w:pPr>
      <w:r>
        <w:rPr>
          <w:rFonts w:ascii="Times New Roman" w:hAnsi="Times New Roman"/>
          <w:sz w:val="20"/>
        </w:rPr>
        <w:t xml:space="preserve">(b) so long as no Event of Default shall have occurred and be continuing at the time of the making of such sale, lease, assignment, transfer or disposition or would immediately result therefrom, any sale, lease, assignment, transfer or disposition (other than a sale of all or substantially all of the assets of the Issuer and its Restricted Subsidiaries); </w:t>
      </w:r>
      <w:r>
        <w:rPr>
          <w:rFonts w:ascii="Times New Roman" w:hAnsi="Times New Roman"/>
          <w:i/>
          <w:sz w:val="20"/>
        </w:rPr>
        <w:t>provided</w:t>
      </w:r>
      <w:r>
        <w:rPr>
          <w:rFonts w:ascii="Times New Roman" w:hAnsi="Times New Roman"/>
          <w:sz w:val="20"/>
        </w:rPr>
        <w:t xml:space="preserve">, that, (i) such sale, lease, assignment, transfer or disposition shall be for fair market value (as determined by the Issuer in good faith) and (ii) at least seventy five percent (75%) of the purchase price for all property subject to such sale, lease, assignment, transfer or disposition shall be paid in cash or Cash Equivalents (with assumed liabilities treated as cash and other Designated Noncash Consideration treated as cash so long as the total Designated Noncash Consideration outstanding at any time does not exceed $10,000,000 for the most recently ended Test Period in the aggregate, and </w:t>
      </w:r>
      <w:r>
        <w:rPr>
          <w:rFonts w:ascii="Times New Roman" w:hAnsi="Times New Roman"/>
          <w:i/>
          <w:sz w:val="20"/>
        </w:rPr>
        <w:t>provided</w:t>
      </w:r>
      <w:r>
        <w:rPr>
          <w:rFonts w:ascii="Times New Roman" w:hAnsi="Times New Roman"/>
          <w:sz w:val="20"/>
        </w:rPr>
        <w:t xml:space="preserve">, that, the amount of the proceeds of any portion of any such disposition that would be permitted under </w:t>
      </w:r>
      <w:r>
        <w:rPr>
          <w:rFonts w:ascii="Times New Roman" w:hAnsi="Times New Roman"/>
          <w:sz w:val="20"/>
          <w:u w:val="single"/>
        </w:rPr>
        <w:t>Section 6.05(n)</w:t>
      </w:r>
      <w:r>
        <w:rPr>
          <w:rFonts w:ascii="Times New Roman" w:hAnsi="Times New Roman"/>
          <w:sz w:val="20"/>
        </w:rPr>
        <w:t xml:space="preserve"> shall be excluded from the numerator and denominator of such calculation); </w:t>
      </w:r>
    </w:p>
    <w:p>
      <w:pPr>
        <w:pStyle w:val="TextBody"/>
        <w:bidi w:val="0"/>
        <w:spacing w:before="240" w:after="0"/>
        <w:jc w:val="left"/>
        <w:rPr>
          <w:rFonts w:ascii="Times New Roman" w:hAnsi="Times New Roman"/>
          <w:sz w:val="20"/>
        </w:rPr>
      </w:pPr>
      <w:r>
        <w:rPr>
          <w:rFonts w:ascii="Times New Roman" w:hAnsi="Times New Roman"/>
          <w:sz w:val="20"/>
        </w:rPr>
        <w:t xml:space="preserve">(c) (i) leases, assignments and subleases of real or personal property in the ordinary course of business and (ii) licenses and sublicenses of Intellectual Property otherwise permitted under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transactions in compliance with </w:t>
      </w:r>
      <w:r>
        <w:rPr>
          <w:rFonts w:ascii="Times New Roman" w:hAnsi="Times New Roman"/>
          <w:sz w:val="20"/>
          <w:u w:val="single"/>
        </w:rPr>
        <w:t>Section 6.04</w:t>
      </w:r>
      <w:r>
        <w:rPr>
          <w:rFonts w:ascii="Times New Roman" w:hAnsi="Times New Roman"/>
          <w:sz w:val="20"/>
        </w:rPr>
        <w:t xml:space="preserve"> (other than </w:t>
      </w:r>
      <w:r>
        <w:rPr>
          <w:rFonts w:ascii="Times New Roman" w:hAnsi="Times New Roman"/>
          <w:sz w:val="20"/>
          <w:u w:val="single"/>
        </w:rPr>
        <w:t>Section 6.04(a)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Investments in compliance with </w:t>
      </w:r>
      <w:r>
        <w:rPr>
          <w:rFonts w:ascii="Times New Roman" w:hAnsi="Times New Roman"/>
          <w:sz w:val="20"/>
          <w:u w:val="single"/>
        </w:rPr>
        <w:t>Section 6.03</w:t>
      </w:r>
      <w:r>
        <w:rPr>
          <w:rFonts w:ascii="Times New Roman" w:hAnsi="Times New Roman"/>
          <w:sz w:val="20"/>
        </w:rPr>
        <w:t xml:space="preserve"> (other than </w:t>
      </w:r>
      <w:r>
        <w:rPr>
          <w:rFonts w:ascii="Times New Roman" w:hAnsi="Times New Roman"/>
          <w:sz w:val="20"/>
          <w:u w:val="single"/>
        </w:rPr>
        <w:t>Section 6.03(h)</w:t>
      </w:r>
      <w:r>
        <w:rPr>
          <w:rFonts w:ascii="Times New Roman" w:hAnsi="Times New Roman"/>
          <w:sz w:val="20"/>
        </w:rPr>
        <w:t xml:space="preserve">), Liens in compliance with </w:t>
      </w:r>
      <w:r>
        <w:rPr>
          <w:rFonts w:ascii="Times New Roman" w:hAnsi="Times New Roman"/>
          <w:sz w:val="20"/>
          <w:u w:val="single"/>
        </w:rPr>
        <w:t>Section 6.02</w:t>
      </w:r>
      <w:r>
        <w:rPr>
          <w:rFonts w:ascii="Times New Roman" w:hAnsi="Times New Roman"/>
          <w:sz w:val="20"/>
        </w:rPr>
        <w:t xml:space="preserve">, Dividends in compliance with </w:t>
      </w:r>
      <w:r>
        <w:rPr>
          <w:rFonts w:ascii="Times New Roman" w:hAnsi="Times New Roman"/>
          <w:sz w:val="20"/>
          <w:u w:val="single"/>
        </w:rPr>
        <w:t>Section 6.06</w:t>
      </w:r>
      <w:r>
        <w:rPr>
          <w:rFonts w:ascii="Times New Roman" w:hAnsi="Times New Roman"/>
          <w:sz w:val="20"/>
        </w:rPr>
        <w:t xml:space="preserve"> and Restricted Debt Payments in compliance with </w:t>
      </w:r>
      <w:r>
        <w:rPr>
          <w:rFonts w:ascii="Times New Roman" w:hAnsi="Times New Roman"/>
          <w:sz w:val="20"/>
          <w:u w:val="single"/>
        </w:rPr>
        <w:t>Section 6.09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sales of any non-core assets (i) acquired in connection with any Permitted Acquisitions or other Investments in compliance with </w:t>
      </w:r>
      <w:r>
        <w:rPr>
          <w:rFonts w:ascii="Times New Roman" w:hAnsi="Times New Roman"/>
          <w:sz w:val="20"/>
          <w:u w:val="single"/>
        </w:rPr>
        <w:t>Section 6.03</w:t>
      </w:r>
      <w:r>
        <w:rPr>
          <w:rFonts w:ascii="Times New Roman" w:hAnsi="Times New Roman"/>
          <w:sz w:val="20"/>
        </w:rPr>
        <w:t xml:space="preserve"> (other than </w:t>
      </w:r>
      <w:r>
        <w:rPr>
          <w:rFonts w:ascii="Times New Roman" w:hAnsi="Times New Roman"/>
          <w:sz w:val="20"/>
          <w:u w:val="single"/>
        </w:rPr>
        <w:t>Section 6.03(h)</w:t>
      </w:r>
      <w:r>
        <w:rPr>
          <w:rFonts w:ascii="Times New Roman" w:hAnsi="Times New Roman"/>
          <w:sz w:val="20"/>
        </w:rPr>
        <w:t xml:space="preserve">), or (ii) to obtain the approval of an anti-trust authority to a Permitted Acquisition or other permitted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sales, discounts or forgiveness of customer delinquent notes or accounts receivable in the ordinary course of business or in connection with the settlement, collection or compromise thereof; </w:t>
      </w:r>
    </w:p>
    <w:p>
      <w:pPr>
        <w:pStyle w:val="TextBody"/>
        <w:bidi w:val="0"/>
        <w:spacing w:before="240" w:after="0"/>
        <w:jc w:val="left"/>
        <w:rPr>
          <w:rFonts w:ascii="Times New Roman" w:hAnsi="Times New Roman"/>
          <w:sz w:val="20"/>
        </w:rPr>
      </w:pPr>
      <w:r>
        <w:rPr>
          <w:rFonts w:ascii="Times New Roman" w:hAnsi="Times New Roman"/>
          <w:sz w:val="20"/>
        </w:rPr>
        <w:t xml:space="preserve">(h) use of cash and dispositions of Cash Equivalents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sales, transfers, leases and other dispositions of assets of the Issuer and its Restricted Subsidiaries that do not constitute Collateral (including, for the avoidance of doubt, the Equity Interests of Unrestricted Subsidiaries and joint ventures) to the extent the fair market value of such assets does not exceed the greater of $10,000,000 in the aggregate during the term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(j) sales, transfers, leases and other dispositions (i) to the Issuer or to any other Note Party or (ii) to any Restricted Subsidiary that is not a Note Party from another Restricted Subsidiary that is not a Note Party; </w:t>
      </w:r>
    </w:p>
    <w:p>
      <w:pPr>
        <w:pStyle w:val="TextBody"/>
        <w:bidi w:val="0"/>
        <w:spacing w:before="240" w:after="0"/>
        <w:jc w:val="left"/>
        <w:rPr>
          <w:rFonts w:ascii="Times New Roman" w:hAnsi="Times New Roman"/>
          <w:sz w:val="20"/>
        </w:rPr>
      </w:pPr>
      <w:r>
        <w:rPr>
          <w:rFonts w:ascii="Times New Roman" w:hAnsi="Times New Roman"/>
          <w:sz w:val="20"/>
        </w:rPr>
        <w:t xml:space="preserve">(k) sales, transfers, leases and other dispositions of property to the extent required by any Governmental Authority or otherwise pursuant to any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(l) sales, transfers, leases and other dispositions of property to the extent that such property constitutes an Investment permitted by </w:t>
      </w:r>
      <w:r>
        <w:rPr>
          <w:rFonts w:ascii="Times New Roman" w:hAnsi="Times New Roman"/>
          <w:sz w:val="20"/>
          <w:u w:val="single"/>
        </w:rPr>
        <w:t>Section 6.03(h)</w:t>
      </w:r>
      <w:r>
        <w:rPr>
          <w:rFonts w:ascii="Times New Roman" w:hAnsi="Times New Roman"/>
          <w:sz w:val="20"/>
        </w:rPr>
        <w:t xml:space="preserve"> or another asset received as consideration for the disposition of any asset permitted by this Section; </w:t>
      </w:r>
    </w:p>
    <w:p>
      <w:pPr>
        <w:pStyle w:val="TextBody"/>
        <w:bidi w:val="0"/>
        <w:spacing w:before="240" w:after="0"/>
        <w:jc w:val="left"/>
        <w:rPr>
          <w:rFonts w:ascii="Times New Roman" w:hAnsi="Times New Roman"/>
          <w:sz w:val="20"/>
        </w:rPr>
      </w:pPr>
      <w:r>
        <w:rPr>
          <w:rFonts w:ascii="Times New Roman" w:hAnsi="Times New Roman"/>
          <w:sz w:val="20"/>
        </w:rPr>
        <w:t xml:space="preserve">(m) sales or dispositions of immaterial Equity Interests to qualify directors where required by applicable Requirements of Law or to satisfy other similar Requirements of Law with respect to the ownership of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(n) any concurrent purchase and sale or exchange of any asset used or useful in the business of the Issuer and the Restricted Subsidiaries or in any line of business permitted hereunder, or any combination of any such assets and cash or Cash Equivalents, between the Issuer or a Restricted Subsidiary on one hand and another person in the other; </w:t>
      </w:r>
    </w:p>
    <w:p>
      <w:pPr>
        <w:pStyle w:val="TextBody"/>
        <w:bidi w:val="0"/>
        <w:spacing w:before="240" w:after="0"/>
        <w:jc w:val="left"/>
        <w:rPr>
          <w:rFonts w:ascii="Times New Roman" w:hAnsi="Times New Roman"/>
          <w:sz w:val="20"/>
        </w:rPr>
      </w:pPr>
      <w:r>
        <w:rPr>
          <w:rFonts w:ascii="Times New Roman" w:hAnsi="Times New Roman"/>
          <w:sz w:val="20"/>
        </w:rPr>
        <w:t xml:space="preserve">(o) dispositions resulting from any casualty or other insured damage to, or any taking under power of eminent domain or by condemnation or similar proceeding of, any property or asset of any Group Member; </w:t>
      </w:r>
    </w:p>
    <w:p>
      <w:pPr>
        <w:pStyle w:val="TextBody"/>
        <w:bidi w:val="0"/>
        <w:spacing w:before="240" w:after="0"/>
        <w:jc w:val="left"/>
        <w:rPr>
          <w:rFonts w:ascii="Times New Roman" w:hAnsi="Times New Roman"/>
          <w:sz w:val="20"/>
        </w:rPr>
      </w:pPr>
      <w:r>
        <w:rPr>
          <w:rFonts w:ascii="Times New Roman" w:hAnsi="Times New Roman"/>
          <w:sz w:val="20"/>
        </w:rPr>
        <w:t xml:space="preserve">(p) the sale or disposition of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(q) dispositions of equipment lost, abandoned or destroyed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(r) other sales or dispositions in an amount not to exceed the greater of $15,000,000 and twenty percent (20%) of Consolidated EBITDA for the most recently ended Test Period per transaction (or series of related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(i) any Motor Vehicle Sale and Leaseback Transaction which does not cause the total aggregate liability under all Motor Vehicle Sale and Leaseback Transactions permitted under this </w:t>
      </w:r>
      <w:r>
        <w:rPr>
          <w:rFonts w:ascii="Times New Roman" w:hAnsi="Times New Roman"/>
          <w:sz w:val="20"/>
          <w:u w:val="single"/>
        </w:rPr>
        <w:t>subclause (i)</w:t>
      </w:r>
      <w:r>
        <w:rPr>
          <w:rFonts w:ascii="Times New Roman" w:hAnsi="Times New Roman"/>
          <w:sz w:val="20"/>
        </w:rPr>
        <w:t xml:space="preserve"> to exceed $20,000,000 at any time and (ii) any other Sale Leaseback Transaction which satisfies each of the following requirements: such Sale Leaseback Transaction is for the sale or transfer of any fixed or capital assets which are made for cash consideration in an amount not less than the fair value of such fixed or capital asset and which is consummated within ninety (90) days after such Note Party acquires or completes the construction of such fixed or capital asset and (y) such Sale Leaseback Transaction does not cause the total aggregate liability under all Sale Leaseback Transactions permitted under this </w:t>
      </w:r>
      <w:r>
        <w:rPr>
          <w:rFonts w:ascii="Times New Roman" w:hAnsi="Times New Roman"/>
          <w:sz w:val="20"/>
          <w:u w:val="single"/>
        </w:rPr>
        <w:t>subclause (ii)</w:t>
      </w:r>
      <w:r>
        <w:rPr>
          <w:rFonts w:ascii="Times New Roman" w:hAnsi="Times New Roman"/>
          <w:sz w:val="20"/>
        </w:rPr>
        <w:t xml:space="preserve"> to exceed $10,000,000 at any time; </w:t>
      </w:r>
    </w:p>
    <w:p>
      <w:pPr>
        <w:pStyle w:val="TextBody"/>
        <w:bidi w:val="0"/>
        <w:spacing w:before="240" w:after="0"/>
        <w:jc w:val="left"/>
        <w:rPr>
          <w:rFonts w:ascii="Times New Roman" w:hAnsi="Times New Roman"/>
          <w:sz w:val="20"/>
        </w:rPr>
      </w:pPr>
      <w:r>
        <w:rPr>
          <w:rFonts w:ascii="Times New Roman" w:hAnsi="Times New Roman"/>
          <w:sz w:val="20"/>
        </w:rPr>
        <w:t xml:space="preserve">(t) surrender or waiver of contractual rights and settlements, releases or waivers of contractual or litigation claims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(u) any disposition, unwinding or termination of Hedging Agreements or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 Controlling Parties or all of the Holders, as applicable, waive the provisions of this </w:t>
      </w:r>
      <w:r>
        <w:rPr>
          <w:rFonts w:ascii="Times New Roman" w:hAnsi="Times New Roman"/>
          <w:sz w:val="20"/>
          <w:u w:val="single"/>
        </w:rPr>
        <w:t>Section 6.05</w:t>
      </w:r>
      <w:r>
        <w:rPr>
          <w:rFonts w:ascii="Times New Roman" w:hAnsi="Times New Roman"/>
          <w:sz w:val="20"/>
        </w:rPr>
        <w:t xml:space="preserve"> with respect to the sale of any Collateral, or any Collateral is sold as permitted by this </w:t>
      </w:r>
      <w:r>
        <w:rPr>
          <w:rFonts w:ascii="Times New Roman" w:hAnsi="Times New Roman"/>
          <w:sz w:val="20"/>
          <w:u w:val="single"/>
        </w:rPr>
        <w:t>Section 6.05</w:t>
      </w:r>
      <w:r>
        <w:rPr>
          <w:rFonts w:ascii="Times New Roman" w:hAnsi="Times New Roman"/>
          <w:sz w:val="20"/>
        </w:rPr>
        <w:t xml:space="preserve">, such Collateral (unless sold to a Note Party) shall be sold automatically free and clear of the Liens created by the Security Documents, and the Issuer shall have delivered to the Trustee and the Collateral Agent an Officer’s Certificate and an Opinion of Counsel to the effect that sale of Collateral complies with this Indenture and the other Note Documents and that all covenants and conditions precedent to the e sale of such Collateral have been satisfied. Notwithstanding anything to the contrary set forth in this Indenture, no Restricted Subsidiary that is not a Note Party may own or hold, and none of the Issuer or any of the Restricted Subsidiaries may transfer (including by granting an exclusive license), sell, dispose or contribute to any such Restricted Subsidiary, any asset that is material to the business of the Issuer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Dividends</w:t>
      </w:r>
      <w:r>
        <w:rPr>
          <w:rFonts w:ascii="Times New Roman" w:hAnsi="Times New Roman"/>
          <w:sz w:val="20"/>
        </w:rPr>
        <w:t xml:space="preserve">. Authorize, declare or pay, directly or indirectly, any Dividends with respect to any Group Member, except that the following shall be permitted (subject to the provisos in each of </w:t>
      </w:r>
      <w:r>
        <w:rPr>
          <w:rFonts w:ascii="Times New Roman" w:hAnsi="Times New Roman"/>
          <w:sz w:val="20"/>
          <w:u w:val="single"/>
        </w:rPr>
        <w:t>subclause (l)</w:t>
      </w:r>
      <w:r>
        <w:rPr>
          <w:rFonts w:ascii="Times New Roman" w:hAnsi="Times New Roman"/>
          <w:sz w:val="20"/>
        </w:rPr>
        <w:t xml:space="preserve"> of </w:t>
      </w:r>
      <w:r>
        <w:rPr>
          <w:rFonts w:ascii="Times New Roman" w:hAnsi="Times New Roman"/>
          <w:sz w:val="20"/>
          <w:u w:val="single"/>
        </w:rPr>
        <w:t>Section 6.01</w:t>
      </w:r>
      <w:r>
        <w:rPr>
          <w:rFonts w:ascii="Times New Roman" w:hAnsi="Times New Roman"/>
          <w:sz w:val="20"/>
        </w:rPr>
        <w:t xml:space="preserve"> and </w:t>
      </w:r>
      <w:r>
        <w:rPr>
          <w:rFonts w:ascii="Times New Roman" w:hAnsi="Times New Roman"/>
          <w:sz w:val="20"/>
          <w:u w:val="single"/>
        </w:rPr>
        <w:t xml:space="preserve">subclause (q) </w:t>
      </w:r>
      <w:r>
        <w:rPr>
          <w:rFonts w:ascii="Times New Roman" w:hAnsi="Times New Roman"/>
          <w:sz w:val="20"/>
        </w:rPr>
        <w:t xml:space="preserve">of </w:t>
      </w:r>
      <w:r>
        <w:rPr>
          <w:rFonts w:ascii="Times New Roman" w:hAnsi="Times New Roman"/>
          <w:sz w:val="20"/>
          <w:u w:val="single"/>
        </w:rPr>
        <w:t>Section 6.03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Dividends by any Group Member (i) to the Issuer or any Subsidiary Guarantor, (ii) to any Restricted Subsidiary of the Issuer that is not a Guarantor; </w:t>
      </w:r>
      <w:r>
        <w:rPr>
          <w:rFonts w:ascii="Times New Roman" w:hAnsi="Times New Roman"/>
          <w:i/>
          <w:sz w:val="20"/>
        </w:rPr>
        <w:t>provided</w:t>
      </w:r>
      <w:r>
        <w:rPr>
          <w:rFonts w:ascii="Times New Roman" w:hAnsi="Times New Roman"/>
          <w:sz w:val="20"/>
        </w:rPr>
        <w:t xml:space="preserve">, that, any such Dividend under this </w:t>
      </w:r>
      <w:r>
        <w:rPr>
          <w:rFonts w:ascii="Times New Roman" w:hAnsi="Times New Roman"/>
          <w:sz w:val="20"/>
          <w:u w:val="single"/>
        </w:rPr>
        <w:t>clause (ii)</w:t>
      </w:r>
      <w:r>
        <w:rPr>
          <w:rFonts w:ascii="Times New Roman" w:hAnsi="Times New Roman"/>
          <w:sz w:val="20"/>
        </w:rPr>
        <w:t xml:space="preserve"> is either (A) paid only in Equity Interests of such Group Member (other than Disqualified Capital Stock) or (B) if paid in cash, is paid to all equityholders on a </w:t>
      </w:r>
      <w:r>
        <w:rPr>
          <w:rFonts w:ascii="Times New Roman" w:hAnsi="Times New Roman"/>
          <w:i/>
          <w:sz w:val="20"/>
        </w:rPr>
        <w:t>pro rata</w:t>
      </w:r>
      <w:r>
        <w:rPr>
          <w:rFonts w:ascii="Times New Roman" w:hAnsi="Times New Roman"/>
          <w:sz w:val="20"/>
        </w:rPr>
        <w:t xml:space="preserve"> basis, and (iii) to Issuer paid only in Equity Interests in kind; </w:t>
      </w:r>
    </w:p>
    <w:p>
      <w:pPr>
        <w:pStyle w:val="TextBody"/>
        <w:bidi w:val="0"/>
        <w:spacing w:before="240" w:after="0"/>
        <w:jc w:val="left"/>
        <w:rPr>
          <w:rFonts w:ascii="Times New Roman" w:hAnsi="Times New Roman"/>
          <w:sz w:val="20"/>
        </w:rPr>
      </w:pPr>
      <w:r>
        <w:rPr>
          <w:rFonts w:ascii="Times New Roman" w:hAnsi="Times New Roman"/>
          <w:sz w:val="20"/>
        </w:rPr>
        <w:t xml:space="preserve">(b) so long as no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or </w:t>
      </w:r>
      <w:r>
        <w:rPr>
          <w:rFonts w:ascii="Times New Roman" w:hAnsi="Times New Roman"/>
          <w:sz w:val="20"/>
          <w:u w:val="single"/>
        </w:rPr>
        <w:t>(h)</w:t>
      </w:r>
      <w:r>
        <w:rPr>
          <w:rFonts w:ascii="Times New Roman" w:hAnsi="Times New Roman"/>
          <w:sz w:val="20"/>
        </w:rPr>
        <w:t xml:space="preserve"> has occurred and is continuing or would immediately result therefrom, payments to Issuer (and/or (without duplication) any direct or indirect parent company) to permit Issuer (or any such direct or indirect parent company) to repurchase or redeem Qualified Capital Stock of Issuer (or any direct or indirect parent company) held by current or former officers, directors or employees (or their transferees, spouses, ex-spouses, heirs, family members, estates or beneficiaries under their estates) of any Group Member (including, without limitation, upon their death, disability, retirement, severance or termination of employment or service) or to make payments on Indebtedness issued to buy such Qualified Capital Stock, including, without limitation, upon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death, disability, retirement, severance or termination of employment or service; </w:t>
      </w:r>
      <w:r>
        <w:rPr>
          <w:rFonts w:ascii="Times New Roman" w:hAnsi="Times New Roman"/>
          <w:i/>
          <w:sz w:val="20"/>
        </w:rPr>
        <w:t>provided</w:t>
      </w:r>
      <w:r>
        <w:rPr>
          <w:rFonts w:ascii="Times New Roman" w:hAnsi="Times New Roman"/>
          <w:sz w:val="20"/>
        </w:rPr>
        <w:t xml:space="preserve">, that, the aggregate cash consideration (for the avoidance of doubt excluding cancellation of Indebtedness owed by such person) paid for all such redemptions and payments shall not exceed, in any fiscal year, the sum of (i) the greater of $5,000,000 and ten percent (10%) of Consolidated EBITDA for the most recently ended Test Period; </w:t>
      </w:r>
      <w:r>
        <w:rPr>
          <w:rFonts w:ascii="Times New Roman" w:hAnsi="Times New Roman"/>
          <w:i/>
          <w:sz w:val="20"/>
        </w:rPr>
        <w:t>provided</w:t>
      </w:r>
      <w:r>
        <w:rPr>
          <w:rFonts w:ascii="Times New Roman" w:hAnsi="Times New Roman"/>
          <w:sz w:val="20"/>
        </w:rPr>
        <w:t xml:space="preserve">, that, such amount may be increased by (x) up to $5,000,000 or, if greater, ten percent (10%) of Consolidated EBITDA, solely to the extent the amount available under this </w:t>
      </w:r>
      <w:r>
        <w:rPr>
          <w:rFonts w:ascii="Times New Roman" w:hAnsi="Times New Roman"/>
          <w:sz w:val="20"/>
          <w:u w:val="single"/>
        </w:rPr>
        <w:t>clause (i)</w:t>
      </w:r>
      <w:r>
        <w:rPr>
          <w:rFonts w:ascii="Times New Roman" w:hAnsi="Times New Roman"/>
          <w:sz w:val="20"/>
        </w:rPr>
        <w:t xml:space="preserve"> was not utilized in the immediately preceding fiscal year or (y) by up to $5,000,000 or, if greater, ten percent (10%) of Consolidated EBITDA solely to the extent that any such additional amount utilized pursuant to this </w:t>
      </w:r>
      <w:r>
        <w:rPr>
          <w:rFonts w:ascii="Times New Roman" w:hAnsi="Times New Roman"/>
          <w:sz w:val="20"/>
          <w:u w:val="single"/>
        </w:rPr>
        <w:t>subclause (y)</w:t>
      </w:r>
      <w:r>
        <w:rPr>
          <w:rFonts w:ascii="Times New Roman" w:hAnsi="Times New Roman"/>
          <w:sz w:val="20"/>
        </w:rPr>
        <w:t xml:space="preserve"> shall reduce the amount of Dividends permitted pursuant to this </w:t>
      </w:r>
      <w:r>
        <w:rPr>
          <w:rFonts w:ascii="Times New Roman" w:hAnsi="Times New Roman"/>
          <w:sz w:val="20"/>
          <w:u w:val="single"/>
        </w:rPr>
        <w:t>Section 6.06(b)(i)</w:t>
      </w:r>
      <w:r>
        <w:rPr>
          <w:rFonts w:ascii="Times New Roman" w:hAnsi="Times New Roman"/>
          <w:sz w:val="20"/>
        </w:rPr>
        <w:t xml:space="preserve"> in the subsequent fiscal year on a dollar-for-dollar basis, </w:t>
      </w:r>
      <w:r>
        <w:rPr>
          <w:rFonts w:ascii="Times New Roman" w:hAnsi="Times New Roman"/>
          <w:i/>
          <w:sz w:val="20"/>
        </w:rPr>
        <w:t xml:space="preserve">plus </w:t>
      </w:r>
      <w:r>
        <w:rPr>
          <w:rFonts w:ascii="Times New Roman" w:hAnsi="Times New Roman"/>
          <w:sz w:val="20"/>
        </w:rPr>
        <w:t xml:space="preserve">(ii) the net cash proceeds of any “keyman” life insurance policies of any Group Member that are used to repurchase or redeem Qualified Capital Stock of Issuer (or any direct or indirect parent company) held by the Person covered by the applicable “key-man” life insurance policy or such Person’s spouse, ex-spouse, estate or beneficiaries under the estate of the Person covered by the applicable “key-man” life insurance policy or to make payments on Indebtedness issued to buy such Qualified Capital Stock upon such Person’s death or disability;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during an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8.01(b)</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any payments described in this </w:t>
      </w:r>
      <w:r>
        <w:rPr>
          <w:rFonts w:ascii="Times New Roman" w:hAnsi="Times New Roman"/>
          <w:sz w:val="20"/>
          <w:u w:val="single"/>
        </w:rPr>
        <w:t>Section 6.06 (b)</w:t>
      </w:r>
      <w:r>
        <w:rPr>
          <w:rFonts w:ascii="Times New Roman" w:hAnsi="Times New Roman"/>
          <w:sz w:val="20"/>
        </w:rPr>
        <w:t xml:space="preserve"> may accrue and shall be permitted to be paid upon such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8.01(b)</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no longer existing so long as no other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8.01(b)</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is continuing at such time; </w:t>
      </w:r>
    </w:p>
    <w:p>
      <w:pPr>
        <w:pStyle w:val="TextBody"/>
        <w:bidi w:val="0"/>
        <w:spacing w:before="240" w:after="0"/>
        <w:jc w:val="left"/>
        <w:rPr>
          <w:rFonts w:ascii="Times New Roman" w:hAnsi="Times New Roman"/>
          <w:sz w:val="20"/>
        </w:rPr>
      </w:pPr>
      <w:r>
        <w:rPr>
          <w:rFonts w:ascii="Times New Roman" w:hAnsi="Times New Roman"/>
          <w:sz w:val="20"/>
        </w:rPr>
        <w:t xml:space="preserve">(c) repurchases of Equity Interests deemed to occur upon the exercise of stock options if the Equity Interests represent a portion of the exercise price thereof and repurchases, redemptions or other acquisitions or retirements for value of Equity Interests made in lieu of withholding Taxes in connection with any exercise or exchange of stock options, warrants or other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(d) Dividends made solely in Equity Interests of Issuer (other than Disqualified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(e) Dividends to finance payments for reasonable director fees and reasonable and documented director indemnities and expenses (which for the avoidance of doubt, may be paid as a Dividend); </w:t>
      </w:r>
    </w:p>
    <w:p>
      <w:pPr>
        <w:pStyle w:val="TextBody"/>
        <w:bidi w:val="0"/>
        <w:spacing w:before="240" w:after="0"/>
        <w:jc w:val="left"/>
        <w:rPr>
          <w:rFonts w:ascii="Times New Roman" w:hAnsi="Times New Roman"/>
          <w:sz w:val="20"/>
        </w:rPr>
      </w:pPr>
      <w:r>
        <w:rPr>
          <w:rFonts w:ascii="Times New Roman" w:hAnsi="Times New Roman"/>
          <w:sz w:val="20"/>
        </w:rPr>
        <w:t xml:space="preserve">(f) Dividends to the extent that payment for such Dividends is made solely with cash contributions from the issuance of Equity Interests (other than Disqualified Capital Stock) of Issuer after the Restatement Effective Date, which are Not Otherwise Applied; </w:t>
      </w:r>
    </w:p>
    <w:p>
      <w:pPr>
        <w:pStyle w:val="TextBody"/>
        <w:bidi w:val="0"/>
        <w:spacing w:before="240" w:after="0"/>
        <w:jc w:val="left"/>
        <w:rPr>
          <w:rFonts w:ascii="Times New Roman" w:hAnsi="Times New Roman"/>
          <w:sz w:val="20"/>
        </w:rPr>
      </w:pPr>
      <w:r>
        <w:rPr>
          <w:rFonts w:ascii="Times New Roman" w:hAnsi="Times New Roman"/>
          <w:sz w:val="20"/>
        </w:rPr>
        <w:t xml:space="preserve">(g) distributions for (i) administrative, overhead and related expenses (including franchise and similar taxes required to maintain corporate existence and other legal, accounting and other overhead expenses) of Issuer or any direct or indirect parent of Issuer to the extent directly attributable to the operations or ownership of the Issuer and its Restricted Subsidiaries, and (ii) Public Company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so long as no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8.01(b)</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shall have occurred and be continuing or would immediately result therefrom, distributions to any of Issuer’s direct or indirect equity holders of any working capital adjustment or any other purchase price adjustment received in connection with any Permitted Acquisition or any other Investment permitted under </w:t>
      </w:r>
      <w:r>
        <w:rPr>
          <w:rFonts w:ascii="Times New Roman" w:hAnsi="Times New Roman"/>
          <w:sz w:val="20"/>
          <w:u w:val="single"/>
        </w:rPr>
        <w:t>Section 6.03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with respect to any Permitted Acquisition or other Investment, the amount of such distribution shall be limited to the Equity Funded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(i) Dividends by any Group Member to any direct or indirect holder of any Equity Interests in the Issuer to finance any Permitted Acquisition, or Investment permitted to be made pursuant to </w:t>
      </w:r>
      <w:r>
        <w:rPr>
          <w:rFonts w:ascii="Times New Roman" w:hAnsi="Times New Roman"/>
          <w:sz w:val="20"/>
          <w:u w:val="single"/>
        </w:rPr>
        <w:t>Section 6.03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 such Dividend shall be made substantially concurrently with the closing of such Permitted Acquisition, or Investment and (B) Issuer or such other Issuer shall, immediately following the closing thereof, cause (1) all property so acquired (whether assets or Equity Interests) or all property of all Person so acquired to be held by or contributed to the Issuer or a Restricted Subsidiary or (2) the merger (to the extent permitted in </w:t>
      </w:r>
      <w:r>
        <w:rPr>
          <w:rFonts w:ascii="Times New Roman" w:hAnsi="Times New Roman"/>
          <w:sz w:val="20"/>
          <w:u w:val="single"/>
        </w:rPr>
        <w:t>Section 6.04</w:t>
      </w:r>
      <w:r>
        <w:rPr>
          <w:rFonts w:ascii="Times New Roman" w:hAnsi="Times New Roman"/>
          <w:sz w:val="20"/>
        </w:rPr>
        <w:t xml:space="preserve">) of the Person formed or acquired into the Issuer or any other Restricted Subsidiary in order to consummate such Permitted Acquisition; </w:t>
      </w:r>
    </w:p>
    <w:p>
      <w:pPr>
        <w:pStyle w:val="TextBody"/>
        <w:bidi w:val="0"/>
        <w:spacing w:before="240" w:after="0"/>
        <w:jc w:val="left"/>
        <w:rPr>
          <w:rFonts w:ascii="Times New Roman" w:hAnsi="Times New Roman"/>
          <w:sz w:val="20"/>
        </w:rPr>
      </w:pPr>
      <w:r>
        <w:rPr>
          <w:rFonts w:ascii="Times New Roman" w:hAnsi="Times New Roman"/>
          <w:sz w:val="20"/>
        </w:rPr>
        <w:t xml:space="preserve">(j) [reserved]; </w:t>
      </w:r>
    </w:p>
    <w:p>
      <w:pPr>
        <w:pStyle w:val="TextBody"/>
        <w:bidi w:val="0"/>
        <w:spacing w:before="240" w:after="0"/>
        <w:jc w:val="left"/>
        <w:rPr>
          <w:rFonts w:ascii="Times New Roman" w:hAnsi="Times New Roman"/>
          <w:sz w:val="20"/>
        </w:rPr>
      </w:pPr>
      <w:r>
        <w:rPr>
          <w:rFonts w:ascii="Times New Roman" w:hAnsi="Times New Roman"/>
          <w:sz w:val="20"/>
        </w:rPr>
        <w:t xml:space="preserve">(k) so long as no Event of Default shall have occurred and be continuing or would immediately result therefrom, unlimited additional Dividends; </w:t>
      </w:r>
      <w:r>
        <w:rPr>
          <w:rFonts w:ascii="Times New Roman" w:hAnsi="Times New Roman"/>
          <w:i/>
          <w:sz w:val="20"/>
        </w:rPr>
        <w:t>provided</w:t>
      </w:r>
      <w:r>
        <w:rPr>
          <w:rFonts w:ascii="Times New Roman" w:hAnsi="Times New Roman"/>
          <w:sz w:val="20"/>
        </w:rPr>
        <w:t xml:space="preserve">, that, on a Pro Forma Basis, the Total Net Leverage Ratio as of the Applicable Date of Determination and for the most recently ended Test Period shall be no greater than 1.00 to 1.00; </w:t>
      </w:r>
    </w:p>
    <w:p>
      <w:pPr>
        <w:pStyle w:val="TextBody"/>
        <w:bidi w:val="0"/>
        <w:spacing w:before="240" w:after="0"/>
        <w:jc w:val="left"/>
        <w:rPr>
          <w:rFonts w:ascii="Times New Roman" w:hAnsi="Times New Roman"/>
          <w:sz w:val="20"/>
        </w:rPr>
      </w:pPr>
      <w:r>
        <w:rPr>
          <w:rFonts w:ascii="Times New Roman" w:hAnsi="Times New Roman"/>
          <w:sz w:val="20"/>
        </w:rPr>
        <w:t xml:space="preserve">(l) [reserved]; </w:t>
      </w:r>
    </w:p>
    <w:p>
      <w:pPr>
        <w:pStyle w:val="TextBody"/>
        <w:bidi w:val="0"/>
        <w:spacing w:before="240" w:after="0"/>
        <w:jc w:val="left"/>
        <w:rPr>
          <w:rFonts w:ascii="Times New Roman" w:hAnsi="Times New Roman"/>
          <w:sz w:val="20"/>
        </w:rPr>
      </w:pPr>
      <w:r>
        <w:rPr>
          <w:rFonts w:ascii="Times New Roman" w:hAnsi="Times New Roman"/>
          <w:sz w:val="20"/>
        </w:rPr>
        <w:t xml:space="preserve">(m) Dividends and distributions among Note Parties in connection with transfer pricing or shared services agreements to the extent advances related thereto are permitted pursuant to </w:t>
      </w:r>
      <w:r>
        <w:rPr>
          <w:rFonts w:ascii="Times New Roman" w:hAnsi="Times New Roman"/>
          <w:sz w:val="20"/>
          <w:u w:val="single"/>
        </w:rPr>
        <w:t>Section 6.03(z)</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(n) Issuer, the Issuer or any Restricted Subsidiary may (i) pay cash in lieu of fractional Equity Interests in connection with any dividend, split or combination thereof, any Permitted Acquisition and (ii) honor any conversion request by a holder of convertible Indebtedness and make cash payments in lieu of fractional shares in connection with any such conversion and may make payments on convertible Indebtedness in accordance with its terms; and </w:t>
      </w:r>
    </w:p>
    <w:p>
      <w:pPr>
        <w:pStyle w:val="TextBody"/>
        <w:bidi w:val="0"/>
        <w:spacing w:before="240" w:after="0"/>
        <w:jc w:val="left"/>
        <w:rPr>
          <w:rFonts w:ascii="Times New Roman" w:hAnsi="Times New Roman"/>
          <w:sz w:val="20"/>
        </w:rPr>
      </w:pPr>
      <w:r>
        <w:rPr>
          <w:rFonts w:ascii="Times New Roman" w:hAnsi="Times New Roman"/>
          <w:sz w:val="20"/>
        </w:rPr>
        <w:t xml:space="preserve">(o) Dividends and distributions made with the Cumulative Amount; provided that (A) no Event of Default shall have occurred and be continuing at the time of the making of such Dividend or would immediately result therefrom, and (B) on a Pro Forma Basis, the Total Net Leverage Ratio as of the Applicable Date of Determination and for the most recently ended Test Period shall be no greater than 1.50 to 1.00.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Transactions with Affiliates</w:t>
      </w:r>
      <w:r>
        <w:rPr>
          <w:rFonts w:ascii="Times New Roman" w:hAnsi="Times New Roman"/>
          <w:sz w:val="20"/>
        </w:rPr>
        <w:t xml:space="preserve">. Except as otherwise permitted hereunder, enter into, directly or indirectly, any transaction or series of related transactions with a fair market value (as determined in good faith by the Issuer) in excess of the greater of $5,000,000 and five percent (5%) of Consolidated EBITDA for the most recently ended Test Period, whether or not in the ordinary course of business, with any Affiliate of any Group Member (other than among the Issuer and any Guarantor or any entity that becomes a Subsidiary Guarantor as a result of such transactions), other than on terms and conditions at least as favorable to such Group Member (or, in the case of a transaction between a Note Party and a Subsidiary that is not a Note Party, such Note Party) as would reasonably be obtained by such Group Member at that time in a comparable arm’s-length transaction with a person other than an Affiliate (as reasonably determined by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 Dividends permitted by </w:t>
      </w:r>
      <w:r>
        <w:rPr>
          <w:rFonts w:ascii="Times New Roman" w:hAnsi="Times New Roman"/>
          <w:sz w:val="20"/>
          <w:u w:val="single"/>
        </w:rPr>
        <w:t>Section 6.06</w:t>
      </w:r>
      <w:r>
        <w:rPr>
          <w:rFonts w:ascii="Times New Roman" w:hAnsi="Times New Roman"/>
          <w:sz w:val="20"/>
        </w:rPr>
        <w:t xml:space="preserve">, (ii) Liens granted pursuant to </w:t>
      </w:r>
      <w:r>
        <w:rPr>
          <w:rFonts w:ascii="Times New Roman" w:hAnsi="Times New Roman"/>
          <w:sz w:val="20"/>
          <w:u w:val="single"/>
        </w:rPr>
        <w:t>Section 6.02,</w:t>
      </w:r>
      <w:r>
        <w:rPr>
          <w:rFonts w:ascii="Times New Roman" w:hAnsi="Times New Roman"/>
          <w:sz w:val="20"/>
        </w:rPr>
        <w:t xml:space="preserve"> (iii) Investments permitted by </w:t>
      </w:r>
      <w:r>
        <w:rPr>
          <w:rFonts w:ascii="Times New Roman" w:hAnsi="Times New Roman"/>
          <w:sz w:val="20"/>
          <w:u w:val="single"/>
        </w:rPr>
        <w:t>Section 6.03</w:t>
      </w:r>
      <w:r>
        <w:rPr>
          <w:rFonts w:ascii="Times New Roman" w:hAnsi="Times New Roman"/>
          <w:sz w:val="20"/>
        </w:rPr>
        <w:t xml:space="preserve"> and Indebtedness resulting therefrom permitted under </w:t>
      </w:r>
      <w:r>
        <w:rPr>
          <w:rFonts w:ascii="Times New Roman" w:hAnsi="Times New Roman"/>
          <w:sz w:val="20"/>
          <w:u w:val="single"/>
        </w:rPr>
        <w:t>Section 6.01</w:t>
      </w:r>
      <w:r>
        <w:rPr>
          <w:rFonts w:ascii="Times New Roman" w:hAnsi="Times New Roman"/>
          <w:sz w:val="20"/>
        </w:rPr>
        <w:t xml:space="preserve">, (iv) transactions permitted by </w:t>
      </w:r>
      <w:r>
        <w:rPr>
          <w:rFonts w:ascii="Times New Roman" w:hAnsi="Times New Roman"/>
          <w:sz w:val="20"/>
          <w:u w:val="single"/>
        </w:rPr>
        <w:t>Section 6.04</w:t>
      </w:r>
      <w:r>
        <w:rPr>
          <w:rFonts w:ascii="Times New Roman" w:hAnsi="Times New Roman"/>
          <w:sz w:val="20"/>
        </w:rPr>
        <w:t xml:space="preserve">, (v) dispositions permitted under </w:t>
      </w:r>
      <w:r>
        <w:rPr>
          <w:rFonts w:ascii="Times New Roman" w:hAnsi="Times New Roman"/>
          <w:sz w:val="20"/>
          <w:u w:val="single"/>
        </w:rPr>
        <w:t>Section 6.05</w:t>
      </w:r>
      <w:r>
        <w:rPr>
          <w:rFonts w:ascii="Times New Roman" w:hAnsi="Times New Roman"/>
          <w:sz w:val="20"/>
        </w:rPr>
        <w:t xml:space="preserve"> and (vi) payments of Indebtedness permitted under </w:t>
      </w:r>
      <w:r>
        <w:rPr>
          <w:rFonts w:ascii="Times New Roman" w:hAnsi="Times New Roman"/>
          <w:sz w:val="20"/>
          <w:u w:val="single"/>
        </w:rPr>
        <w:t>Section 6.09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director, officer and employee compensation (including bonuses) and other benefits (including, without limitation, retirement, health, incentive equity and other benefit plans) and expense reimbursement and indemnification arrangements and severance agreements; </w:t>
      </w:r>
    </w:p>
    <w:p>
      <w:pPr>
        <w:pStyle w:val="TextBody"/>
        <w:bidi w:val="0"/>
        <w:spacing w:before="240" w:after="0"/>
        <w:jc w:val="left"/>
        <w:rPr>
          <w:rFonts w:ascii="Times New Roman" w:hAnsi="Times New Roman"/>
          <w:sz w:val="20"/>
        </w:rPr>
      </w:pPr>
      <w:r>
        <w:rPr>
          <w:rFonts w:ascii="Times New Roman" w:hAnsi="Times New Roman"/>
          <w:sz w:val="20"/>
        </w:rPr>
        <w:t xml:space="preserve">(c) transactions with customers, clients, suppliers, joint venture partners or purchasers or sellers of goods and services, in each case in the ordinary course of business and otherwise not prohibited by the Note Documents;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any transaction with an Affiliate where the only consideration paid by any Note Party is Qualified Capital Stock of Issuer (or Equity Interests of a direct or indirect parent company of Issuer); </w:t>
      </w:r>
    </w:p>
    <w:p>
      <w:pPr>
        <w:pStyle w:val="TextBody"/>
        <w:bidi w:val="0"/>
        <w:spacing w:before="240" w:after="0"/>
        <w:jc w:val="left"/>
        <w:rPr>
          <w:rFonts w:ascii="Times New Roman" w:hAnsi="Times New Roman"/>
          <w:sz w:val="20"/>
        </w:rPr>
      </w:pPr>
      <w:r>
        <w:rPr>
          <w:rFonts w:ascii="Times New Roman" w:hAnsi="Times New Roman"/>
          <w:sz w:val="20"/>
        </w:rPr>
        <w:t xml:space="preserve">(f) agreements relating to Intellectual Property not interfering in any material respect with the ordinary conduct of business of or the value of such Intellectual Property to such Group Member or materially impairing the security interest granted under the Security Agreement therein held by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(g) any other agreement, arrangement or transaction as in effect on the Restatement Effective Date and listed on </w:t>
      </w:r>
      <w:r>
        <w:rPr>
          <w:rFonts w:ascii="Times New Roman" w:hAnsi="Times New Roman"/>
          <w:sz w:val="20"/>
          <w:u w:val="single"/>
        </w:rPr>
        <w:t>Schedule 6.07,</w:t>
      </w:r>
      <w:r>
        <w:rPr>
          <w:rFonts w:ascii="Times New Roman" w:hAnsi="Times New Roman"/>
          <w:sz w:val="20"/>
        </w:rPr>
        <w:t xml:space="preserve"> and any amendment or modification with respect to such agreement, arrangement or transaction, and the performance of obligations thereunder, so long as such amendment or modification is not materially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(h) the Transactions as contemplated by the Transaction Documents, including the payment of any fees, costs or expenses related to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(i) transactions among Issuer and/or any of its Restricted Subsidiaries that are permitted hereunder; and </w:t>
      </w:r>
    </w:p>
    <w:p>
      <w:pPr>
        <w:pStyle w:val="TextBody"/>
        <w:bidi w:val="0"/>
        <w:spacing w:before="240" w:after="0"/>
        <w:jc w:val="left"/>
        <w:rPr>
          <w:rFonts w:ascii="Times New Roman" w:hAnsi="Times New Roman"/>
          <w:sz w:val="20"/>
        </w:rPr>
      </w:pPr>
      <w:r>
        <w:rPr>
          <w:rFonts w:ascii="Times New Roman" w:hAnsi="Times New Roman"/>
          <w:sz w:val="20"/>
        </w:rPr>
        <w:t xml:space="preserve">(j) transactions pursuant to transfer pricing or shared services agreements, advances with respect to which are permitted by </w:t>
      </w:r>
      <w:r>
        <w:rPr>
          <w:rFonts w:ascii="Times New Roman" w:hAnsi="Times New Roman"/>
          <w:sz w:val="20"/>
          <w:u w:val="single"/>
        </w:rPr>
        <w:t>Section 6.03(z)</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Financial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Total Net Leverage Ratio</w:t>
      </w:r>
      <w:r>
        <w:rPr>
          <w:rFonts w:ascii="Times New Roman" w:hAnsi="Times New Roman"/>
          <w:sz w:val="20"/>
        </w:rPr>
        <w:t xml:space="preserve">. Except with the written consent of the Controlling Parties, permit the Total Net Leverage Ratio as of the last day of and for any Test Period (commencing, for the avoidance of doubt, with the Test Period ending September 30, 2026) to be greater than the Total Net Leverage Ratio set forth below opposite such Test Period: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84"/>
        <w:gridCol w:w="636"/>
        <w:gridCol w:w="2619"/>
      </w:tblGrid>
      <w:tr>
        <w:trPr/>
        <w:tc>
          <w:tcPr>
            <w:tcW w:w="3684" w:type="dxa"/>
            <w:tcBorders/>
            <w:vAlign w:val="center"/>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r>
      <w:tr>
        <w:trPr/>
        <w:tc>
          <w:tcPr>
            <w:tcW w:w="36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Test Period Ending</w:t>
            </w:r>
          </w:p>
        </w:tc>
        <w:tc>
          <w:tcPr>
            <w:tcW w:w="636" w:type="dxa"/>
            <w:tcBorders/>
            <w:vAlign w:val="bottom"/>
          </w:tcPr>
          <w:p>
            <w:pPr>
              <w:pStyle w:val="TableContents"/>
              <w:bidi w:val="0"/>
              <w:spacing w:before="0" w:after="283"/>
              <w:jc w:val="left"/>
              <w:rPr/>
            </w:pPr>
            <w:r>
              <w:rPr/>
              <w:t>  </w:t>
            </w:r>
          </w:p>
        </w:tc>
        <w:tc>
          <w:tcPr>
            <w:tcW w:w="2619" w:type="dxa"/>
            <w:tcBorders>
              <w:bottom w:val="single" w:sz="8" w:space="0" w:color="000000"/>
            </w:tcBorders>
            <w:tcMar>
              <w:bottom w:w="28" w:type="dxa"/>
            </w:tcMar>
            <w:vAlign w:val="bottom"/>
          </w:tcPr>
          <w:p>
            <w:pPr>
              <w:pStyle w:val="TableContents"/>
              <w:bidi w:val="0"/>
              <w:spacing w:before="0" w:after="283"/>
              <w:jc w:val="center"/>
              <w:rPr>
                <w:b/>
              </w:rPr>
            </w:pPr>
            <w:r>
              <w:rPr>
                <w:b/>
              </w:rPr>
              <w:t>Total Net Leverage Ratio</w:t>
            </w:r>
          </w:p>
        </w:tc>
      </w:tr>
      <w:tr>
        <w:trPr/>
        <w:tc>
          <w:tcPr>
            <w:tcW w:w="3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2026 through and including March 31, 2027</w:t>
            </w:r>
          </w:p>
        </w:tc>
        <w:tc>
          <w:tcPr>
            <w:tcW w:w="636" w:type="dxa"/>
            <w:tcBorders/>
            <w:shd w:fill="CCEEFF" w:val="clear"/>
            <w:vAlign w:val="bottom"/>
          </w:tcPr>
          <w:p>
            <w:pPr>
              <w:pStyle w:val="TableContents"/>
              <w:bidi w:val="0"/>
              <w:spacing w:before="0" w:after="283"/>
              <w:jc w:val="left"/>
              <w:rPr/>
            </w:pPr>
            <w:r>
              <w:rPr/>
              <w:t>  </w:t>
            </w:r>
          </w:p>
        </w:tc>
        <w:tc>
          <w:tcPr>
            <w:tcW w:w="2619" w:type="dxa"/>
            <w:tcBorders/>
            <w:shd w:fill="CCEEFF" w:val="clear"/>
            <w:vAlign w:val="bottom"/>
          </w:tcPr>
          <w:p>
            <w:pPr>
              <w:pStyle w:val="TableContents"/>
              <w:bidi w:val="0"/>
              <w:spacing w:before="0" w:after="283"/>
              <w:jc w:val="center"/>
              <w:rPr/>
            </w:pPr>
            <w:r>
              <w:rPr/>
              <w:t>4.50:1.00</w:t>
            </w:r>
          </w:p>
        </w:tc>
      </w:tr>
      <w:tr>
        <w:trPr/>
        <w:tc>
          <w:tcPr>
            <w:tcW w:w="3684" w:type="dxa"/>
            <w:tcBorders/>
          </w:tcPr>
          <w:p>
            <w:pPr>
              <w:pStyle w:val="TableContents"/>
              <w:bidi w:val="0"/>
              <w:spacing w:before="0" w:after="0"/>
              <w:jc w:val="left"/>
              <w:rPr>
                <w:rFonts w:ascii="Times New Roman" w:hAnsi="Times New Roman"/>
                <w:sz w:val="20"/>
              </w:rPr>
            </w:pPr>
            <w:r>
              <w:rPr>
                <w:rFonts w:ascii="Times New Roman" w:hAnsi="Times New Roman"/>
                <w:sz w:val="20"/>
              </w:rPr>
              <w:t>June 30, 2027 through and including March 31, 2028</w:t>
            </w:r>
          </w:p>
        </w:tc>
        <w:tc>
          <w:tcPr>
            <w:tcW w:w="636" w:type="dxa"/>
            <w:tcBorders/>
            <w:vAlign w:val="bottom"/>
          </w:tcPr>
          <w:p>
            <w:pPr>
              <w:pStyle w:val="TableContents"/>
              <w:bidi w:val="0"/>
              <w:spacing w:before="0" w:after="283"/>
              <w:jc w:val="left"/>
              <w:rPr/>
            </w:pPr>
            <w:r>
              <w:rPr/>
              <w:t>  </w:t>
            </w:r>
          </w:p>
        </w:tc>
        <w:tc>
          <w:tcPr>
            <w:tcW w:w="2619" w:type="dxa"/>
            <w:tcBorders/>
            <w:vAlign w:val="bottom"/>
          </w:tcPr>
          <w:p>
            <w:pPr>
              <w:pStyle w:val="TableContents"/>
              <w:bidi w:val="0"/>
              <w:spacing w:before="0" w:after="283"/>
              <w:jc w:val="center"/>
              <w:rPr/>
            </w:pPr>
            <w:r>
              <w:rPr/>
              <w:t>4.00:1.00</w:t>
            </w:r>
          </w:p>
        </w:tc>
      </w:tr>
      <w:tr>
        <w:trPr/>
        <w:tc>
          <w:tcPr>
            <w:tcW w:w="3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2028 through and including March 31, 2029</w:t>
            </w:r>
          </w:p>
        </w:tc>
        <w:tc>
          <w:tcPr>
            <w:tcW w:w="636" w:type="dxa"/>
            <w:tcBorders/>
            <w:shd w:fill="CCEEFF" w:val="clear"/>
            <w:vAlign w:val="bottom"/>
          </w:tcPr>
          <w:p>
            <w:pPr>
              <w:pStyle w:val="TableContents"/>
              <w:bidi w:val="0"/>
              <w:spacing w:before="0" w:after="283"/>
              <w:jc w:val="left"/>
              <w:rPr/>
            </w:pPr>
            <w:r>
              <w:rPr/>
              <w:t>  </w:t>
            </w:r>
          </w:p>
        </w:tc>
        <w:tc>
          <w:tcPr>
            <w:tcW w:w="2619" w:type="dxa"/>
            <w:tcBorders/>
            <w:shd w:fill="CCEEFF" w:val="clear"/>
            <w:vAlign w:val="bottom"/>
          </w:tcPr>
          <w:p>
            <w:pPr>
              <w:pStyle w:val="TableContents"/>
              <w:bidi w:val="0"/>
              <w:spacing w:before="0" w:after="283"/>
              <w:jc w:val="center"/>
              <w:rPr/>
            </w:pPr>
            <w:r>
              <w:rPr/>
              <w:t>3.50:1.00</w:t>
            </w:r>
          </w:p>
        </w:tc>
      </w:tr>
      <w:tr>
        <w:trPr/>
        <w:tc>
          <w:tcPr>
            <w:tcW w:w="3684" w:type="dxa"/>
            <w:tcBorders/>
          </w:tcPr>
          <w:p>
            <w:pPr>
              <w:pStyle w:val="TableContents"/>
              <w:bidi w:val="0"/>
              <w:spacing w:before="0" w:after="0"/>
              <w:jc w:val="left"/>
              <w:rPr>
                <w:rFonts w:ascii="Times New Roman" w:hAnsi="Times New Roman"/>
                <w:sz w:val="20"/>
              </w:rPr>
            </w:pPr>
            <w:r>
              <w:rPr>
                <w:rFonts w:ascii="Times New Roman" w:hAnsi="Times New Roman"/>
                <w:sz w:val="20"/>
              </w:rPr>
              <w:t>June 30, 2029, and thereafter</w:t>
            </w:r>
          </w:p>
        </w:tc>
        <w:tc>
          <w:tcPr>
            <w:tcW w:w="636" w:type="dxa"/>
            <w:tcBorders/>
            <w:vAlign w:val="bottom"/>
          </w:tcPr>
          <w:p>
            <w:pPr>
              <w:pStyle w:val="TableContents"/>
              <w:bidi w:val="0"/>
              <w:spacing w:before="0" w:after="283"/>
              <w:jc w:val="left"/>
              <w:rPr/>
            </w:pPr>
            <w:r>
              <w:rPr/>
              <w:t>  </w:t>
            </w:r>
          </w:p>
        </w:tc>
        <w:tc>
          <w:tcPr>
            <w:tcW w:w="2619" w:type="dxa"/>
            <w:tcBorders/>
            <w:vAlign w:val="bottom"/>
          </w:tcPr>
          <w:p>
            <w:pPr>
              <w:pStyle w:val="TableContents"/>
              <w:bidi w:val="0"/>
              <w:spacing w:before="0" w:after="283"/>
              <w:jc w:val="center"/>
              <w:rPr/>
            </w:pPr>
            <w:r>
              <w:rPr/>
              <w:t>3.00:1.00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Net Capital Expenditures</w:t>
      </w:r>
      <w:r>
        <w:rPr>
          <w:rFonts w:ascii="Times New Roman" w:hAnsi="Times New Roman"/>
          <w:sz w:val="20"/>
        </w:rPr>
        <w:t xml:space="preserve">. Make Net Capital Expenditures in any Test Period costing in excess of the greater of (x) $65,000,000 in the aggregate during any Test Period or (y) seven percent (7%) of revenues during such Test Period; </w:t>
      </w:r>
      <w:r>
        <w:rPr>
          <w:rFonts w:ascii="Times New Roman" w:hAnsi="Times New Roman"/>
          <w:i/>
          <w:sz w:val="20"/>
        </w:rPr>
        <w:t>provided</w:t>
      </w:r>
      <w:r>
        <w:rPr>
          <w:rFonts w:ascii="Times New Roman" w:hAnsi="Times New Roman"/>
          <w:sz w:val="20"/>
        </w:rPr>
        <w:t xml:space="preserve">, that, such amounts shall be calculated on a Pro Forma Basis to give effect to any Subject Transaction as if it occurred on the first day of the reference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for purposes of testing compliance with this </w:t>
      </w:r>
      <w:r>
        <w:rPr>
          <w:rFonts w:ascii="Times New Roman" w:hAnsi="Times New Roman"/>
          <w:sz w:val="20"/>
          <w:u w:val="single"/>
        </w:rPr>
        <w:t>Section 6.08(b)</w:t>
      </w:r>
      <w:r>
        <w:rPr>
          <w:rFonts w:ascii="Times New Roman" w:hAnsi="Times New Roman"/>
          <w:sz w:val="20"/>
        </w:rPr>
        <w:t xml:space="preserve">, as of the last day of (x) the first full fiscal quarter ending after the Restatement Effective Date, Net Capital Expenditures shall be the amount of Net Capital Expenditures for such fiscal quarter then-ended multiplied by 4, (y) the second full fiscal quarter ending after the Restatement Effective Date, Net Capital Expenditures shall be the amount of Net Capital Expenditures for the two fiscal quarters then-ended multiplied by 2 and (z) the third full fiscal quarter ending after the Restatement Effective Date, Net Capital Expenditures shall be the amount of Net Capital Expenditures for the three fiscal quarters then-ended multiplied by 4/3.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Prepayments of Certain Indebtedness; Modifications of Organizational Documents and Other Documents,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Directly or indirectly make any voluntary or optional payment or prepayment of, or repurchase, redemption or acquisition for value of, prior to any scheduled repayment, sinking fund payment or maturity, any Subordinated Indebtedness, Junior Secured Indebtedness and Unsecured Indebtedness outstanding under the documents evidencing any such Indebtedness that is, in each case, in excess of $5,000,000 in the aggregate (each, a “</w:t>
      </w:r>
      <w:r>
        <w:rPr>
          <w:rFonts w:ascii="Times New Roman" w:hAnsi="Times New Roman"/>
          <w:b/>
          <w:sz w:val="20"/>
        </w:rPr>
        <w:t>Restricted Debt Payment</w:t>
      </w:r>
      <w:r>
        <w:rPr>
          <w:rFonts w:ascii="Times New Roman" w:hAnsi="Times New Roman"/>
          <w:sz w:val="20"/>
        </w:rPr>
        <w:t xml:space="preserve">”) </w:t>
      </w:r>
      <w:r>
        <w:rPr>
          <w:rFonts w:ascii="Times New Roman" w:hAnsi="Times New Roman"/>
          <w:i/>
          <w:sz w:val="20"/>
        </w:rPr>
        <w:t>except</w:t>
      </w:r>
      <w:r>
        <w:rPr>
          <w:rFonts w:ascii="Times New Roman" w:hAnsi="Times New Roman"/>
          <w:sz w:val="20"/>
        </w:rPr>
        <w:t xml:space="preserve"> (i) to the extent not prohibited by any applicable Intercreditor Agreement or any subordination terms applicable to any such Subordinated Indebtedness, Junior Secured Indebtedness or Unsecured Indebtedness (including pursuant to a Permitted Refinancing) with the Cumulative Amount; </w:t>
      </w:r>
      <w:r>
        <w:rPr>
          <w:rFonts w:ascii="Times New Roman" w:hAnsi="Times New Roman"/>
          <w:i/>
          <w:sz w:val="20"/>
        </w:rPr>
        <w:t>provided</w:t>
      </w:r>
      <w:r>
        <w:rPr>
          <w:rFonts w:ascii="Times New Roman" w:hAnsi="Times New Roman"/>
          <w:sz w:val="20"/>
        </w:rPr>
        <w:t xml:space="preserve">, that, (A) no Event of Default shall have occurred and be continuing at the time of the making of such Restricted Debt Payment or would immediately result therefrom, and (B) on a Pro Forma Basis, the Total Net Leverage Ratio as of the Applicable Date of Determination and for the most recently ended Test Period shall be no greater than 1.50 to 1.00, (ii) in connection with any Permitted Refinancing thereof or to the extent made with the proceeds of Qualified Capital Stock of Issuer that are Not Otherwise Applied; </w:t>
      </w:r>
      <w:r>
        <w:rPr>
          <w:rFonts w:ascii="Times New Roman" w:hAnsi="Times New Roman"/>
          <w:i/>
          <w:sz w:val="20"/>
        </w:rPr>
        <w:t>provided</w:t>
      </w:r>
      <w:r>
        <w:rPr>
          <w:rFonts w:ascii="Times New Roman" w:hAnsi="Times New Roman"/>
          <w:sz w:val="20"/>
        </w:rPr>
        <w:t xml:space="preserve">, that, in the case of any refinancing of Permitted Junior Refinancing Debt or other Indebtedness subject to any applicable Intercreditor Agreement, such refinancing must be permitted by such Intercreditor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if applicable, the other customary subordination documentation related to such Permitted Junior Refinancing Debt or such other Indebtedness, (iii) prepaying, redeeming, purchasing, defeasing or otherwise satisfying prior to the scheduled maturity thereof (or setting apart any property for such purpose) (A) in the case of any Group Member that is not a Note Party, any Indebtedness owing by such Group Member to any other Group Member, (B) otherwise, any Indebtedness owing to any Note Party and (C) so long as no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8.01(b)</w:t>
      </w:r>
      <w:r>
        <w:rPr>
          <w:rFonts w:ascii="Times New Roman" w:hAnsi="Times New Roman"/>
          <w:sz w:val="20"/>
        </w:rPr>
        <w:t xml:space="preserve">, </w:t>
      </w:r>
      <w:r>
        <w:rPr>
          <w:rFonts w:ascii="Times New Roman" w:hAnsi="Times New Roman"/>
          <w:sz w:val="20"/>
          <w:u w:val="single"/>
        </w:rPr>
        <w:t>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is continuing or would immediately result therefrom, any mandatory prepayments of Indebtedness incurred under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of </w:t>
      </w:r>
      <w:r>
        <w:rPr>
          <w:rFonts w:ascii="Times New Roman" w:hAnsi="Times New Roman"/>
          <w:sz w:val="20"/>
          <w:u w:val="single"/>
        </w:rPr>
        <w:t>Section 6.01</w:t>
      </w:r>
      <w:r>
        <w:rPr>
          <w:rFonts w:ascii="Times New Roman" w:hAnsi="Times New Roman"/>
          <w:sz w:val="20"/>
        </w:rPr>
        <w:t xml:space="preserve"> and any Permitted Refinancing thereof, (iv) making regularly scheduled or otherwise required payments of interest and mandatory prepayments in respect of such Subordinated Indebtedness, Junior Secured Indebtedness or Unsecured Indebtedness (and any Permitted Refinancing of any of the foregoing) and payments of fees, expenses and indemnification obligations thereunder, (v) to the extent that such payment is made solely with cash contributions from the issuance of Equity Interests (other than Disqualified Capital Stock) of the Issuer which are Not Otherwise Applied, (vi) converting (or exchanging) any Indebtedness to (or for) Qualified Capital Stock of Issuer, (vii) if applicable, any AHYDO Catch-Up Payments with respect thereto, (viii) making prepayments, redemptions, purchases, defeasance or other satisfaction of Indebtedness in an amount not to exceed $20,000,000 </w:t>
      </w:r>
      <w:r>
        <w:rPr>
          <w:rFonts w:ascii="Times New Roman" w:hAnsi="Times New Roman"/>
          <w:i/>
          <w:sz w:val="20"/>
        </w:rPr>
        <w:t xml:space="preserve">less </w:t>
      </w:r>
      <w:r>
        <w:rPr>
          <w:rFonts w:ascii="Times New Roman" w:hAnsi="Times New Roman"/>
          <w:sz w:val="20"/>
        </w:rPr>
        <w:t xml:space="preserve">the aggregate amount re-allocated to </w:t>
      </w:r>
      <w:r>
        <w:rPr>
          <w:rFonts w:ascii="Times New Roman" w:hAnsi="Times New Roman"/>
          <w:sz w:val="20"/>
          <w:u w:val="single"/>
        </w:rPr>
        <w:t>Section 6.03(y)</w:t>
      </w:r>
      <w:r>
        <w:rPr>
          <w:rFonts w:ascii="Times New Roman" w:hAnsi="Times New Roman"/>
          <w:sz w:val="20"/>
        </w:rPr>
        <w:t xml:space="preserve"> by the Issuer pursuant to </w:t>
      </w:r>
      <w:r>
        <w:rPr>
          <w:rFonts w:ascii="Times New Roman" w:hAnsi="Times New Roman"/>
          <w:sz w:val="20"/>
          <w:u w:val="single"/>
        </w:rPr>
        <w:t>Section 6.03(y)</w:t>
      </w:r>
      <w:r>
        <w:rPr>
          <w:rFonts w:ascii="Times New Roman" w:hAnsi="Times New Roman"/>
          <w:sz w:val="20"/>
        </w:rPr>
        <w:t xml:space="preserve">, (ix) making prepayments, redemptions, purchases, defeasance or other satisfaction of such Indebtedness, so long as no Event of Default has occurred and is continuing and the Total Net Leverage Ratio computed on a Pro Forma Basis as of the Applicable Date of Determination and for the most recently ended Test Period is no greater than 1.00 to 1.00, (x) [reserved], (xi) in connection with the refinancing of any Indebtedness acquired in connection with a Permitted Acquisition or similar Investment to the extent such Indebtedness was not incurred in contemplation of such Permitted Acquisition or similar Investment, and (xii) any payments of intercompany obligations permitted under subordination terms approved by the Trustee pursuant to </w:t>
      </w:r>
      <w:r>
        <w:rPr>
          <w:rFonts w:ascii="Times New Roman" w:hAnsi="Times New Roman"/>
          <w:sz w:val="20"/>
          <w:u w:val="single"/>
        </w:rPr>
        <w:t>Section 6.01(l)</w:t>
      </w:r>
      <w:r>
        <w:rPr>
          <w:rFonts w:ascii="Times New Roman" w:hAnsi="Times New Roman"/>
          <w:sz w:val="20"/>
        </w:rPr>
        <w:t xml:space="preserve"> hereunder; </w:t>
      </w:r>
    </w:p>
    <w:p>
      <w:pPr>
        <w:pStyle w:val="TextBody"/>
        <w:bidi w:val="0"/>
        <w:spacing w:before="240" w:after="0"/>
        <w:jc w:val="left"/>
        <w:rPr>
          <w:rFonts w:ascii="Times New Roman" w:hAnsi="Times New Roman"/>
          <w:sz w:val="20"/>
        </w:rPr>
      </w:pPr>
      <w:r>
        <w:rPr>
          <w:rFonts w:ascii="Times New Roman" w:hAnsi="Times New Roman"/>
          <w:sz w:val="20"/>
        </w:rPr>
        <w:t xml:space="preserve">(b) amend, modify or change any term or condition of documents evidencing Subordinated Indebtedness, Junior Secured Indebtedness or Unsecured Indebtedness in violation of an Intercreditor Agreement or applicable documents governing such Indebtedness without the consent of the Controlling Parties (not to be unreasonably withheld, conditioned, or delayed); and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its shares are secured in favor of the Secured Parties pursuant to any Security Agreement, terminate, amend, modify or change any of its Organizational Documents (including by the filing or modification of any certificate of designation) or any agreement to which it is a party with respect to its Equity Interests (including any stockholders’ agreement), other than any such amendments, modifications or changes or such new agreements which are not materially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No Further Negative Pledge; Subsidiary Distributions</w:t>
      </w:r>
      <w:r>
        <w:rPr>
          <w:rFonts w:ascii="Times New Roman" w:hAnsi="Times New Roman"/>
          <w:sz w:val="20"/>
        </w:rPr>
        <w:t xml:space="preserve">. Enter into any agreement, instrument, deed or lease which (a) prohibits or limits the ability of any Note Party to create, incur, assume or suffer to exist any Lien upon any of their respective properties or revenues, whether now owned or hereafter acquired, or which requires the grant of any security for an obligation if security is granted for another obligation or (b) prohibits, restricts or imposes any condition upon the ability of any Restricted Subsidiary that is not a Note Party from paying dividends or other distributions with respect to any of its Equity Interests or to make or repay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advances to any Restricted Subsidiary or to guarantee Indebtedness of any Restricted Subsidiary, in each case, except the following: (i) this Indenture and the other Note Documents, and any documents governing any Additional Notes, any Permitted Additional Debt, any Indebtedness incurred pursuant to </w:t>
      </w:r>
      <w:r>
        <w:rPr>
          <w:rFonts w:ascii="Times New Roman" w:hAnsi="Times New Roman"/>
          <w:sz w:val="20"/>
          <w:u w:val="single"/>
        </w:rPr>
        <w:t>Section 6.01(t)</w:t>
      </w:r>
      <w:r>
        <w:rPr>
          <w:rFonts w:ascii="Times New Roman" w:hAnsi="Times New Roman"/>
          <w:sz w:val="20"/>
        </w:rPr>
        <w:t xml:space="preserve"> or </w:t>
      </w:r>
      <w:r>
        <w:rPr>
          <w:rFonts w:ascii="Times New Roman" w:hAnsi="Times New Roman"/>
          <w:sz w:val="20"/>
          <w:u w:val="single"/>
        </w:rPr>
        <w:t>6.01(w)</w:t>
      </w:r>
      <w:r>
        <w:rPr>
          <w:rFonts w:ascii="Times New Roman" w:hAnsi="Times New Roman"/>
          <w:sz w:val="20"/>
        </w:rPr>
        <w:t xml:space="preserve"> or, in each case, any Notes Refinancing Indebtedness or Permitted Refinancing in respect thereof; </w:t>
      </w:r>
      <w:r>
        <w:rPr>
          <w:rFonts w:ascii="Times New Roman" w:hAnsi="Times New Roman"/>
          <w:i/>
          <w:sz w:val="20"/>
        </w:rPr>
        <w:t>provided</w:t>
      </w:r>
      <w:r>
        <w:rPr>
          <w:rFonts w:ascii="Times New Roman" w:hAnsi="Times New Roman"/>
          <w:sz w:val="20"/>
        </w:rPr>
        <w:t xml:space="preserve">, that, such Additional Notes, Permitted Additional Debt, Notes Refinancing Indebtedness, and other Indebtedness are no more materially restrictive with respect to such prohibitions, restrictions and conditions than the applicable terms of this Indenture; (ii) covenants in documents creating Liens permitted by </w:t>
      </w:r>
      <w:r>
        <w:rPr>
          <w:rFonts w:ascii="Times New Roman" w:hAnsi="Times New Roman"/>
          <w:sz w:val="20"/>
          <w:u w:val="single"/>
        </w:rPr>
        <w:t>Section 6.02</w:t>
      </w:r>
      <w:r>
        <w:rPr>
          <w:rFonts w:ascii="Times New Roman" w:hAnsi="Times New Roman"/>
          <w:sz w:val="20"/>
        </w:rPr>
        <w:t xml:space="preserve"> prohibiting further Liens on the properties encumbered thereby; (iii) the ABL Documents; (iv) any other agreement that does not restrict in any manner (directly or indirectly) Liens created pursuant to the Note Documents on any Collateral securing the Obligations and does not require the direct or indirect granting of any Lien securing any Indebtedness or other obligation by virtue of the granting of Liens on or pledge of property of any Note Party to secure the Obligations; (v) customary covenants and restrictions in any indenture, agreement, document, instrument or other arrangement relating to non-material assets or business of any Subsidiary existing prior to the consummation of a Permitted Acquisition in which such Subsidiary was acquired (and not created in contemplation of such Permitted Acquisition); (vi) customary restrictions on cash or other deposits; (vii) net worth provisions in leases and other agreements entered into by a Group Member in the ordinary course of business; (viii) contractual encumbrances or restrictions existing on the Restatement Effective Date and identified on </w:t>
      </w:r>
      <w:r>
        <w:rPr>
          <w:rFonts w:ascii="Times New Roman" w:hAnsi="Times New Roman"/>
          <w:sz w:val="20"/>
          <w:u w:val="single"/>
        </w:rPr>
        <w:t>Schedule 6.10</w:t>
      </w:r>
      <w:r>
        <w:rPr>
          <w:rFonts w:ascii="Times New Roman" w:hAnsi="Times New Roman"/>
          <w:sz w:val="20"/>
        </w:rPr>
        <w:t xml:space="preserve">; and (ix) any prohibition or limitation that (A) exists pursuant to applicable Requirements of Law, (B) consists of customary restrictions and conditions contained in any agreement relating to the sale of any property permitted under </w:t>
      </w:r>
      <w:r>
        <w:rPr>
          <w:rFonts w:ascii="Times New Roman" w:hAnsi="Times New Roman"/>
          <w:sz w:val="20"/>
          <w:u w:val="single"/>
        </w:rPr>
        <w:t>Section 6.05</w:t>
      </w:r>
      <w:r>
        <w:rPr>
          <w:rFonts w:ascii="Times New Roman" w:hAnsi="Times New Roman"/>
          <w:sz w:val="20"/>
        </w:rPr>
        <w:t xml:space="preserve">, stock sale agreement, joint venture agreement, sale/leaseback agreement, purchase agreements, or acquisition agreements (including by way of merger, acquisition or consolidation) entered into by a Note Party or any Restricted Subsidiary solely to the extent pending the consummation of such transaction, which covenant or restriction is limited to the assets that are the subject of such agreements, (C) restricts subletting or assignment of leasehold interests contained in any Lease governing a leasehold interest of a Note Party or a Restricted Subsidiary, or (D) is imposed by any amendments or refinancings that are otherwise permitted by the Note Documents of the contracts, instruments or obligations referred to in immediately preceding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(ix)</w:t>
      </w:r>
      <w:r>
        <w:rPr>
          <w:rFonts w:ascii="Times New Roman" w:hAnsi="Times New Roman"/>
          <w:sz w:val="20"/>
        </w:rPr>
        <w:t xml:space="preserve"> of this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amendments and refinancings are no more materially restrictive with respect to such prohibitions and limitations than those prior to such amendment or refinancing.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Nature of Business</w:t>
      </w:r>
      <w:r>
        <w:rPr>
          <w:rFonts w:ascii="Times New Roman" w:hAnsi="Times New Roman"/>
          <w:sz w:val="20"/>
        </w:rPr>
        <w:t xml:space="preserve">. The Issuer and its Restricted Subsidiaries will not engage in any material line of business substantially different from the lines of business conducted by the Issuer and its Restricted Subsidiaries on the Restatement Effective Date or any business reasonably related, similar, corollary, complementary, incidental or ancillary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Fiscal Year</w:t>
      </w:r>
      <w:r>
        <w:rPr>
          <w:rFonts w:ascii="Times New Roman" w:hAnsi="Times New Roman"/>
          <w:sz w:val="20"/>
        </w:rPr>
        <w:t xml:space="preserve">. Change its fiscal year end date to a date other than December 31, other than with prior written notice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Hedging Obligations</w:t>
      </w:r>
      <w:r>
        <w:rPr>
          <w:rFonts w:ascii="Times New Roman" w:hAnsi="Times New Roman"/>
          <w:sz w:val="20"/>
        </w:rPr>
        <w:t xml:space="preserve">. None of the Note Parties will, nor will they permit any of their Restricted Subsidiaries to, incur, create, or permit to exist any Hedging Obligations, other than Hedging Obligations with respect to interest rates, foreign currency exchange rates or commodity prices not entered into for speculative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value received, each Guarantor, fully and unconditionally, jointly and severally with each other Guarantor and each other Person which may become a Guarantor hereunder, guarantees the Notes and obligations of the Issuer hereunder and thereunder, and guarantees to each Holder of a Note authenticated and delivered by the Trustee and to the Trustee, that: (i) the principal of and premium, if any, and interest, if any, on the Notes shall be paid in full when due, whether at stated maturity, by acceleration, call for redemption or otherwise, together with interest on the overdue principal, if any, and interest on any overdue interest, if any, to the extent lawful, and all other Obligations of the Issuer to the Holders or the Trustee under this Indenture or the Notes shall be paid in full or performed, all in accordance with the terms hereof and thereof; and (ii) in case of any extension of time of payment or renewal of any Notes or of any such other obligations, the same shall be paid in full when due or performed in accordance with the terms of the extension or renewal, whether at stated maturity, by acceleration or otherwise. Each of the Guarantees shall be a guarantee of payment and not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 Each Guarantor hereby agrees that its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 </w:t>
      </w:r>
    </w:p>
    <w:p>
      <w:pPr>
        <w:pStyle w:val="TextBody"/>
        <w:bidi w:val="0"/>
        <w:spacing w:before="240" w:after="0"/>
        <w:jc w:val="left"/>
        <w:rPr>
          <w:rFonts w:ascii="Times New Roman" w:hAnsi="Times New Roman"/>
          <w:sz w:val="20"/>
        </w:rPr>
      </w:pPr>
      <w:r>
        <w:rPr>
          <w:rFonts w:ascii="Times New Roman" w:hAnsi="Times New Roman"/>
          <w:sz w:val="20"/>
        </w:rPr>
        <w:t xml:space="preserve">(c) Each Guarantor hereby waives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any Note or this Indenture except by complete performance of the obligations contained in such Note and this Indenture and such Guarantee. Each of the Guarantors hereby agrees that, in the event of a Default in payment of principal or premium, if any, or interest on any Note, whether at its stated maturity, by acceleration, call for redemption, purchase or otherwise, legal proceedings may be instituted by the Trustee on behalf of, or by, the Holder of such Note, subject to the terms and conditions set forth in this Indenture, directly against each of the Guarantors to enforce each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Holders, upon demand therefor, the amount that would otherwise have been due and payable had such rights and remedies been permitted to be exercised by the Trustee or any of the Holders and any other amounts due and owing to the Trustee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Holder or the Trustee is required by any court or otherwise to return to the Issuer or any Guarantor, or any custodian, trustee, liquidator or other similar official acting in relation to the Issuer or any Guarantor, any amount paid by any of them to the Trustee or such Holder, the Guarantee of each of the Guarantors, to the extent theretofore discharged, shall be reinstated in full force and effect. This </w:t>
      </w:r>
      <w:r>
        <w:rPr>
          <w:rFonts w:ascii="Times New Roman" w:hAnsi="Times New Roman"/>
          <w:sz w:val="20"/>
          <w:u w:val="single"/>
        </w:rPr>
        <w:t>clause (d)</w:t>
      </w:r>
      <w:r>
        <w:rPr>
          <w:rFonts w:ascii="Times New Roman" w:hAnsi="Times New Roman"/>
          <w:sz w:val="20"/>
        </w:rPr>
        <w:t xml:space="preserve"> shall remain effective notwithstanding any contrary action which may be taken by the Trustee or any Holder in reliance upon such amount required to be returned. This </w:t>
      </w:r>
      <w:r>
        <w:rPr>
          <w:rFonts w:ascii="Times New Roman" w:hAnsi="Times New Roman"/>
          <w:sz w:val="20"/>
          <w:u w:val="single"/>
        </w:rPr>
        <w:t>clause (d)</w:t>
      </w:r>
      <w:r>
        <w:rPr>
          <w:rFonts w:ascii="Times New Roman" w:hAnsi="Times New Roman"/>
          <w:sz w:val="20"/>
        </w:rPr>
        <w:t xml:space="preserve"> shall survive the termination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Each Guarantor further agrees that, as between each Guarantor, on the one hand, and the Holders and the Trustee, on the other hand, (x) the maturity of the obligations guaranteed hereby may be accelerated as provided in </w:t>
      </w:r>
      <w:r>
        <w:rPr>
          <w:rFonts w:ascii="Times New Roman" w:hAnsi="Times New Roman"/>
          <w:sz w:val="20"/>
          <w:u w:val="single"/>
        </w:rPr>
        <w:t>Article VIII</w:t>
      </w:r>
      <w:r>
        <w:rPr>
          <w:rFonts w:ascii="Times New Roman" w:hAnsi="Times New Roman"/>
          <w:sz w:val="20"/>
        </w:rPr>
        <w:t xml:space="preserve"> for the purposes of the Guarantee of such Guarantor, notwithstanding any stay, injunction or other prohibition preventing such acceleration in respect of the obligations guaranteed hereby, and (y) in the event of any acceleration of such obligations as provided in </w:t>
      </w:r>
      <w:r>
        <w:rPr>
          <w:rFonts w:ascii="Times New Roman" w:hAnsi="Times New Roman"/>
          <w:sz w:val="20"/>
          <w:u w:val="single"/>
        </w:rPr>
        <w:t>Article VIII</w:t>
      </w:r>
      <w:r>
        <w:rPr>
          <w:rFonts w:ascii="Times New Roman" w:hAnsi="Times New Roman"/>
          <w:sz w:val="20"/>
        </w:rPr>
        <w:t xml:space="preserve">, such obligations (whether or not due and payable) shall forthwith become due and payable by each Guarantor for the purpose of the Guarantee of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(f) Each Guarantor that makes a payment for distribution under its Guarantee is entitled upon payment in full of all guaranteed obligations under this Indenture to seek contribution from each other Guarantor in a pro rata amount of such payment based on the respective net assets of all the Guarantors at the time of such payment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Execution and Delivery of 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evidence its Guarantee set forth in </w:t>
      </w:r>
      <w:r>
        <w:rPr>
          <w:rFonts w:ascii="Times New Roman" w:hAnsi="Times New Roman"/>
          <w:sz w:val="20"/>
          <w:u w:val="single"/>
        </w:rPr>
        <w:t>Section 7.01</w:t>
      </w:r>
      <w:r>
        <w:rPr>
          <w:rFonts w:ascii="Times New Roman" w:hAnsi="Times New Roman"/>
          <w:sz w:val="20"/>
        </w:rPr>
        <w:t xml:space="preserve">, each Guarantor agrees that this Indenture or a supplemental indenture in substantially the form attached hereto as </w:t>
      </w:r>
      <w:r>
        <w:rPr>
          <w:rFonts w:ascii="Times New Roman" w:hAnsi="Times New Roman"/>
          <w:sz w:val="20"/>
          <w:u w:val="single"/>
        </w:rPr>
        <w:t>Exhibit F</w:t>
      </w:r>
      <w:r>
        <w:rPr>
          <w:rFonts w:ascii="Times New Roman" w:hAnsi="Times New Roman"/>
          <w:sz w:val="20"/>
        </w:rPr>
        <w:t xml:space="preserve"> shall be executed on behalf of such Guarantor by an Officer of such Guarantor (or, if an Officer is not available, by a board member or director) on behalf of such Guarantor by manual, electronic or facsimile signature. Each Guarantor hereby agrees that its Guarantee set forth in </w:t>
      </w:r>
      <w:r>
        <w:rPr>
          <w:rFonts w:ascii="Times New Roman" w:hAnsi="Times New Roman"/>
          <w:sz w:val="20"/>
          <w:u w:val="single"/>
        </w:rPr>
        <w:t>Section 7.01</w:t>
      </w:r>
      <w:r>
        <w:rPr>
          <w:rFonts w:ascii="Times New Roman" w:hAnsi="Times New Roman"/>
          <w:sz w:val="20"/>
        </w:rPr>
        <w:t xml:space="preserve"> hereof shall remain in full force and effect notwithstanding the absence of the endorsement of any notation of such Guarantee on the Notes. In case the officer, board member or director of such Guarantor whose signature is on this Indenture or supplemental indenture, as applicable, no longer holds such or any office at the time the Trustee authenticates any Note, the Guarantee shall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(b) The delivery of any Note by the Trustee, after the authentication thereof hereunder, shall constitute due delivery of the Guarantee set forth in this Indenture on behalf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Severability</w:t>
      </w:r>
      <w:r>
        <w:rPr>
          <w:rFonts w:ascii="Times New Roman" w:hAnsi="Times New Roman"/>
          <w:sz w:val="20"/>
        </w:rPr>
        <w:t xml:space="preserve">. In case any provision of any Guarantee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Limitation of Guarantors’ Liability</w:t>
      </w:r>
      <w:r>
        <w:rPr>
          <w:rFonts w:ascii="Times New Roman" w:hAnsi="Times New Roman"/>
          <w:sz w:val="20"/>
        </w:rPr>
        <w:t xml:space="preserve">. Each Guarantor and by its acceptance hereof each Holder confirms that it is the intention of all such parties that the Guarantee of such Guarantor not constitute a fraudulent transfer or conveyance for purposes of the Debtor Relief Law, the Uniform Fraudulent Conveyance Act, the Uniform Fraudulent Transfer Act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 federal or state law or the provisions of its local law relating to fraudulent transfer or conveyance. To effectuate the foregoing intention, the Trustee, the Holders and the Guarantors hereby irrevocably agree that the obligations of such Guarantor under its Guarantee and the related security granted as Collateral therefor (other than a company that is a direct or indirect parent of the Issuer) shall be limited to the maximum amount that will not, after giving effect to all other contingent and fixed liabilities of such Guarantor (including, without limitation, any guarantees under the ABL Credit Agreement) and after giving effect to any collections from, rights to receive contribution from or payments made by or on behalf of any other Guarantor in respect of the obligations of such other Guarantor under its Guarantee or the related security granted as Collateral therefor, result in the obligations of such Guarantor under its Guarantee or the related security granted as Collateral therefor constituting a fraudulent conveyance, fraudulent preference or fraudulent transfer or otherwise reviewable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Releases</w:t>
      </w:r>
      <w:r>
        <w:rPr>
          <w:rFonts w:ascii="Times New Roman" w:hAnsi="Times New Roman"/>
          <w:sz w:val="20"/>
        </w:rPr>
        <w:t xml:space="preserve">. A Guarantor shall be automatically released from its Obligations under its Guarantee and this Indenture (without the need for any action by any party) upon: </w:t>
      </w:r>
    </w:p>
    <w:p>
      <w:pPr>
        <w:pStyle w:val="TextBody"/>
        <w:bidi w:val="0"/>
        <w:spacing w:before="240" w:after="0"/>
        <w:jc w:val="left"/>
        <w:rPr>
          <w:rFonts w:ascii="Times New Roman" w:hAnsi="Times New Roman"/>
          <w:sz w:val="20"/>
        </w:rPr>
      </w:pPr>
      <w:r>
        <w:rPr>
          <w:rFonts w:ascii="Times New Roman" w:hAnsi="Times New Roman"/>
          <w:sz w:val="20"/>
        </w:rPr>
        <w:t xml:space="preserve">(a) </w:t>
      </w:r>
    </w:p>
    <w:p>
      <w:pPr>
        <w:pStyle w:val="TextBody"/>
        <w:bidi w:val="0"/>
        <w:spacing w:before="240" w:after="0"/>
        <w:jc w:val="left"/>
        <w:rPr>
          <w:rFonts w:ascii="Times New Roman" w:hAnsi="Times New Roman"/>
          <w:sz w:val="20"/>
        </w:rPr>
      </w:pPr>
      <w:r>
        <w:rPr>
          <w:rFonts w:ascii="Times New Roman" w:hAnsi="Times New Roman"/>
          <w:sz w:val="20"/>
        </w:rPr>
        <w:t xml:space="preserve">(i) any sale or other disposition of all or substantially all of the assets of such Guarantor (by merger, consolidation or otherwise) to a Person that is not (either before or after giving effect to such transaction) the Issuer or a Restricted Subsidiary, if the sale or other disposition does not violate </w:t>
      </w:r>
      <w:r>
        <w:rPr>
          <w:rFonts w:ascii="Times New Roman" w:hAnsi="Times New Roman"/>
          <w:sz w:val="20"/>
          <w:u w:val="single"/>
        </w:rPr>
        <w:t>Section 6.06</w:t>
      </w:r>
      <w:r>
        <w:rPr>
          <w:rFonts w:ascii="Times New Roman" w:hAnsi="Times New Roman"/>
          <w:sz w:val="20"/>
        </w:rPr>
        <w:t xml:space="preserv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(ii) any sale, exchange or transfer (by merger, consolidation or otherwise) of all or a portion of the Equity Interests of such Guarantor after which the applicable Guarantor is no longer a Restricted Subsidiary, which sale, exchange or transfer does not violate </w:t>
      </w:r>
      <w:r>
        <w:rPr>
          <w:rFonts w:ascii="Times New Roman" w:hAnsi="Times New Roman"/>
          <w:sz w:val="20"/>
          <w:u w:val="single"/>
        </w:rPr>
        <w:t>Section 6.06</w:t>
      </w:r>
      <w:r>
        <w:rPr>
          <w:rFonts w:ascii="Times New Roman" w:hAnsi="Times New Roman"/>
          <w:sz w:val="20"/>
        </w:rPr>
        <w:t xml:space="preserv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(iii) the proper designation of such Guarantor by the Issuer as an Unrestricted Subsidiary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(iv) [reserved]; </w:t>
      </w:r>
    </w:p>
    <w:p>
      <w:pPr>
        <w:pStyle w:val="TextBody"/>
        <w:bidi w:val="0"/>
        <w:spacing w:before="240" w:after="0"/>
        <w:jc w:val="left"/>
        <w:rPr>
          <w:rFonts w:ascii="Times New Roman" w:hAnsi="Times New Roman"/>
          <w:sz w:val="20"/>
        </w:rPr>
      </w:pPr>
      <w:r>
        <w:rPr>
          <w:rFonts w:ascii="Times New Roman" w:hAnsi="Times New Roman"/>
          <w:sz w:val="20"/>
        </w:rPr>
        <w:t xml:space="preserve">(v) if the Issuer exercises its Legal Defeasance option or its Covenant Defeasance option pursuant to Section 11.02 or Section 11.03 or if its Obligations under this Indenture are discharged in accordance with Section 11.08; or </w:t>
      </w:r>
    </w:p>
    <w:p>
      <w:pPr>
        <w:pStyle w:val="TextBody"/>
        <w:bidi w:val="0"/>
        <w:spacing w:before="240" w:after="0"/>
        <w:jc w:val="left"/>
        <w:rPr>
          <w:rFonts w:ascii="Times New Roman" w:hAnsi="Times New Roman"/>
          <w:sz w:val="20"/>
        </w:rPr>
      </w:pPr>
      <w:r>
        <w:rPr>
          <w:rFonts w:ascii="Times New Roman" w:hAnsi="Times New Roman"/>
          <w:sz w:val="20"/>
        </w:rPr>
        <w:t xml:space="preserve">(vi) liquidation or dissolution of such Guarantor; provided no Default or Event of Default has occurred and is continuing; and </w:t>
      </w:r>
    </w:p>
    <w:p>
      <w:pPr>
        <w:pStyle w:val="TextBody"/>
        <w:bidi w:val="0"/>
        <w:spacing w:before="240" w:after="0"/>
        <w:jc w:val="left"/>
        <w:rPr>
          <w:rFonts w:ascii="Times New Roman" w:hAnsi="Times New Roman"/>
          <w:sz w:val="20"/>
        </w:rPr>
      </w:pPr>
      <w:r>
        <w:rPr>
          <w:rFonts w:ascii="Times New Roman" w:hAnsi="Times New Roman"/>
          <w:sz w:val="20"/>
        </w:rPr>
        <w:t xml:space="preserve">(b) the Issuer delivering to the Trustee an Officer’s Certificate and an Opinion of Counsel to the effect that all conditions precedent provided for in this Indenture relating to the release of such Guarantor’s Guarantee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(c) Upon the release of any Guarantee in accordance with this Indenture, the Trustee shall execute any documents reasonably requested in order to evidence the release of the Guarantor from its obligations under its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Benefits Acknowledged</w:t>
      </w:r>
      <w:r>
        <w:rPr>
          <w:rFonts w:ascii="Times New Roman" w:hAnsi="Times New Roman"/>
          <w:sz w:val="20"/>
        </w:rPr>
        <w:t xml:space="preserve">. Each Guarantor acknowledges that it will receive direct and indirect benefits from the financing arrangements contemplated by this Indenture and that its guarantee and waivers pursuant to its Guarantee are knowingly made in contemplation of such benefits.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Events of Default</w:t>
      </w:r>
      <w:r>
        <w:rPr>
          <w:rFonts w:ascii="Times New Roman" w:hAnsi="Times New Roman"/>
          <w:sz w:val="20"/>
        </w:rPr>
        <w:t>. For so long as this Indenture remains outstanding, upon the occurrence and during the continuance of any of the following events (each an “</w:t>
      </w:r>
      <w:r>
        <w:rPr>
          <w:rFonts w:ascii="Times New Roman" w:hAnsi="Times New Roman"/>
          <w:b/>
          <w:sz w:val="20"/>
        </w:rPr>
        <w:t>Event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default shall be made in the payment of any principal of any Notes (including any Notes required to be redeemed on a Quarterly Redemption Date) when and as the same shall become due and payable, whether at the due date thereof or at a date fixed for redemption or repurchase thereof or by acceleration thereof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default shall be made in the payment of any interest on any Note, fees or any other amount (other than an amount referred to in </w:t>
      </w:r>
      <w:r>
        <w:rPr>
          <w:rFonts w:ascii="Times New Roman" w:hAnsi="Times New Roman"/>
          <w:sz w:val="20"/>
          <w:u w:val="single"/>
        </w:rPr>
        <w:t>clause (a)</w:t>
      </w:r>
      <w:r>
        <w:rPr>
          <w:rFonts w:ascii="Times New Roman" w:hAnsi="Times New Roman"/>
          <w:sz w:val="20"/>
        </w:rPr>
        <w:t xml:space="preserve"> above) due under any Note Document, when and as the same shall become due and payable, and such default shall continue unremedied for a period of three (3)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or warranty made or deemed made by or on behalf of any Group Member in any Note Document or any representation, warranty, statement or information contained in any certificate furnished by or on behalf of any Group Member pursuant to any Note Document, shall prove to have been false or misleading in any material respect (or in any respect if such representation, warranty, statement or information is qualified as to “materiality” or “Material Adverse Effect”) when so made or deemed made, and such false or misleading representation, warranty, statement or information, to the extent capable of being cured, shall continue to be false, misleading or otherwise unremedied, or shall not be waived, for a period of twenty (20) days after the earlier of (i) receipt of written notice thereof from the Trustee to the Issuer or (ii) an Officer of the Issuer obtaining knowledge thereof; </w:t>
      </w:r>
    </w:p>
    <w:p>
      <w:pPr>
        <w:pStyle w:val="TextBody"/>
        <w:bidi w:val="0"/>
        <w:spacing w:before="240" w:after="0"/>
        <w:jc w:val="left"/>
        <w:rPr>
          <w:rFonts w:ascii="Times New Roman" w:hAnsi="Times New Roman"/>
          <w:sz w:val="20"/>
        </w:rPr>
      </w:pPr>
      <w:r>
        <w:rPr>
          <w:rFonts w:ascii="Times New Roman" w:hAnsi="Times New Roman"/>
          <w:sz w:val="20"/>
        </w:rPr>
        <w:t xml:space="preserve">(d) default shall be made in the due observance or performance by any Group Member of any covenant, condition or agreement contained in </w:t>
      </w:r>
      <w:r>
        <w:rPr>
          <w:rFonts w:ascii="Times New Roman" w:hAnsi="Times New Roman"/>
          <w:sz w:val="20"/>
          <w:u w:val="single"/>
        </w:rPr>
        <w:t>Sections 5.04(a)</w:t>
      </w:r>
      <w:r>
        <w:rPr>
          <w:rFonts w:ascii="Times New Roman" w:hAnsi="Times New Roman"/>
          <w:sz w:val="20"/>
        </w:rPr>
        <w:t xml:space="preserve"> or </w:t>
      </w:r>
      <w:r>
        <w:rPr>
          <w:rFonts w:ascii="Times New Roman" w:hAnsi="Times New Roman"/>
          <w:sz w:val="20"/>
          <w:u w:val="single"/>
        </w:rPr>
        <w:t>5.05(a)</w:t>
      </w:r>
      <w:r>
        <w:rPr>
          <w:rFonts w:ascii="Times New Roman" w:hAnsi="Times New Roman"/>
          <w:sz w:val="20"/>
        </w:rPr>
        <w:t xml:space="preserve"> (only with respect to legal existence in the Issuer’s state of organization), or in </w:t>
      </w:r>
      <w:r>
        <w:rPr>
          <w:rFonts w:ascii="Times New Roman" w:hAnsi="Times New Roman"/>
          <w:sz w:val="20"/>
          <w:u w:val="single"/>
        </w:rPr>
        <w:t>Article VI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for the avoidance of doubt, an Event of Default under this </w:t>
      </w:r>
      <w:r>
        <w:rPr>
          <w:rFonts w:ascii="Times New Roman" w:hAnsi="Times New Roman"/>
          <w:sz w:val="20"/>
          <w:u w:val="single"/>
        </w:rPr>
        <w:t>Section 8.01(d)</w:t>
      </w:r>
      <w:r>
        <w:rPr>
          <w:rFonts w:ascii="Times New Roman" w:hAnsi="Times New Roman"/>
          <w:sz w:val="20"/>
        </w:rPr>
        <w:t xml:space="preserve"> resulting from a breach of </w:t>
      </w:r>
      <w:r>
        <w:rPr>
          <w:rFonts w:ascii="Times New Roman" w:hAnsi="Times New Roman"/>
          <w:sz w:val="20"/>
          <w:u w:val="single"/>
        </w:rPr>
        <w:t>Section 6.08(a)</w:t>
      </w:r>
      <w:r>
        <w:rPr>
          <w:rFonts w:ascii="Times New Roman" w:hAnsi="Times New Roman"/>
          <w:sz w:val="20"/>
        </w:rPr>
        <w:t xml:space="preserve"> shall be subject to cure pursuant to </w:t>
      </w:r>
      <w:r>
        <w:rPr>
          <w:rFonts w:ascii="Times New Roman" w:hAnsi="Times New Roman"/>
          <w:sz w:val="20"/>
          <w:u w:val="single"/>
        </w:rPr>
        <w:t>Section 8.10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default shall be made in the due observance or performance by any Group Member of any covenant, condition or agreement contained in any Note Document other than those specified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immediately above and such default shall continue unremedied or shall not be waived for a period of thirty (30) days after receipt by the Issuer of written notice thereof from the Trustee to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any Group Member shall fail to (i) pay any principal or interest due in respect of any Indebtedness (other than the Obligations) or Hedging Obligations, when and as the same shall become due and payable beyond any applicable grace period, or (ii) observe or perform any other term, covenant, condition or agreement contained in any agreement or instrument evidencing or governing any such Indebtedness or Hedging Obligations, if the effect of any failure referred to in this </w:t>
      </w:r>
      <w:r>
        <w:rPr>
          <w:rFonts w:ascii="Times New Roman" w:hAnsi="Times New Roman"/>
          <w:sz w:val="20"/>
          <w:u w:val="single"/>
        </w:rPr>
        <w:t>clause (ii)</w:t>
      </w:r>
      <w:r>
        <w:rPr>
          <w:rFonts w:ascii="Times New Roman" w:hAnsi="Times New Roman"/>
          <w:sz w:val="20"/>
        </w:rPr>
        <w:t xml:space="preserve"> is to cause, or to permit the holder or holders of such Indebtedness of Hedging Obligations or a trustee or other representative on its or their behalf to cause (with or without the giving of notice (other than any notice required to start any grace period), but taking into account any applicable grace periods or waivers), such Indebtedness to become due prior to its stated maturity, terminate, or become subject to a mandatory offer to purchase by the obligor;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clause (ii)</w:t>
      </w:r>
      <w:r>
        <w:rPr>
          <w:rFonts w:ascii="Times New Roman" w:hAnsi="Times New Roman"/>
          <w:sz w:val="20"/>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Indenture and such Indebtedness is repaid in accordance with its terms);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Event of Default shall occur pursuant to this </w:t>
      </w:r>
      <w:r>
        <w:rPr>
          <w:rFonts w:ascii="Times New Roman" w:hAnsi="Times New Roman"/>
          <w:sz w:val="20"/>
          <w:u w:val="single"/>
        </w:rPr>
        <w:t>clause (f)</w:t>
      </w:r>
      <w:r>
        <w:rPr>
          <w:rFonts w:ascii="Times New Roman" w:hAnsi="Times New Roman"/>
          <w:sz w:val="20"/>
        </w:rPr>
        <w:t xml:space="preserve"> unless the aggregate principal amount of all such Indebtedness or Hedging Obligations referred to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exceeds $7,500,000 at any one time (</w:t>
      </w:r>
      <w:r>
        <w:rPr>
          <w:rFonts w:ascii="Times New Roman" w:hAnsi="Times New Roman"/>
          <w:i/>
          <w:sz w:val="20"/>
        </w:rPr>
        <w:t>provided</w:t>
      </w:r>
      <w:r>
        <w:rPr>
          <w:rFonts w:ascii="Times New Roman" w:hAnsi="Times New Roman"/>
          <w:sz w:val="20"/>
        </w:rPr>
        <w:t>, that, in the case of Hedging Obligations, the amount counted for this purpose shall be the amount payable by all Group Members if such Hedging Obligations were terminated at such time;</w:t>
      </w:r>
      <w:r>
        <w:rPr>
          <w:rFonts w:ascii="Times New Roman" w:hAnsi="Times New Roman"/>
          <w:sz w:val="20"/>
          <w:u w:val="single"/>
        </w:rPr>
        <w:t xml:space="preserve"> </w:t>
      </w:r>
      <w:r>
        <w:rPr>
          <w:rFonts w:ascii="Times New Roman" w:hAnsi="Times New Roman"/>
          <w:i/>
          <w:sz w:val="20"/>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i/>
          <w:sz w:val="20"/>
        </w:rPr>
        <w:t>further</w:t>
      </w:r>
      <w:r>
        <w:rPr>
          <w:rFonts w:ascii="Times New Roman" w:hAnsi="Times New Roman"/>
          <w:sz w:val="20"/>
        </w:rPr>
        <w:t xml:space="preserve">, that, such failure is unremedied and is not waived by the holders of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(g) an involuntary proceeding shall be commenced or an involuntary petition shall be filed in a court of competent jurisdiction seeking (i) relief in respect of any Group Member (other than any Immaterial Subsidiary), or of all or substantially all of the property of any Group Member (other than any Immaterial Subsidiary), under Title 11 of the U.S. Code, as now constituted or hereafter amended, or any other federal, state or foreign bankruptcy, insolvency, receivership or similar law; (ii) the appointment of a receiver, trustee, custodian, sequestrator, conservator or similar official for any Group Member (other than any Immaterial Subsidiary) or for all or substantially of the property of any Group Member (other than any Immaterial Subsidiary); or (iii) the winding-up or liquidation of any Group Member (other than any Immaterial Subsidiary); and such proceeding or petition shall continue undismissed for sixty (60) days or an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(h) any Group Member (other than any Immaterial Subsidiary)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w:t>
      </w:r>
      <w:r>
        <w:rPr>
          <w:rFonts w:ascii="Times New Roman" w:hAnsi="Times New Roman"/>
          <w:sz w:val="20"/>
          <w:u w:val="single"/>
        </w:rPr>
        <w:t>clause (g)</w:t>
      </w:r>
      <w:r>
        <w:rPr>
          <w:rFonts w:ascii="Times New Roman" w:hAnsi="Times New Roman"/>
          <w:sz w:val="20"/>
        </w:rPr>
        <w:t xml:space="preserve"> above; (iii) apply for or consent to the appointment of a receiver, trustee, custodian, sequestrator, conservator or similar official for any Group Member (other than any Immaterial Subsidiary) or for a substantial part of the property of any Group Member (other than any Immaterial Subsidiary); (iv) file an answer admitting the material allegations of a petition filed against it in any such proceeding; (v) make a general assignment for the benefit of creditors; (vi) become unable, admit in writing its inability, or fail generally to, pay its debts as they become due; or (vii) take any corporate (or equivalent) action for the purpose of effecting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 there is entered against any Note Party or any Restricted Subsidiary (in each case other than an Immaterial Subsidiary) a final judgment or order for the payment of money in an aggregate amount in excess of $7,500,000 (to the extent not covered by independent third-party insurance) and such judgment or order shall not have been satisfied, vacated, discharged or stayed or bonded pending an appeal for a period of sixty (60) consecutive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any material provision of any Note Document, at any time after its execution and delivery and for any reason other than as expressly permitted hereunder or thereunder (including as a result of a transaction permitted under </w:t>
      </w:r>
      <w:r>
        <w:rPr>
          <w:rFonts w:ascii="Times New Roman" w:hAnsi="Times New Roman"/>
          <w:sz w:val="20"/>
          <w:u w:val="single"/>
        </w:rPr>
        <w:t>Section 6.04</w:t>
      </w:r>
      <w:r>
        <w:rPr>
          <w:rFonts w:ascii="Times New Roman" w:hAnsi="Times New Roman"/>
          <w:sz w:val="20"/>
        </w:rPr>
        <w:t xml:space="preserve"> or </w:t>
      </w:r>
      <w:r>
        <w:rPr>
          <w:rFonts w:ascii="Times New Roman" w:hAnsi="Times New Roman"/>
          <w:sz w:val="20"/>
          <w:u w:val="single"/>
        </w:rPr>
        <w:t>Section 6.05</w:t>
      </w:r>
      <w:r>
        <w:rPr>
          <w:rFonts w:ascii="Times New Roman" w:hAnsi="Times New Roman"/>
          <w:sz w:val="20"/>
        </w:rPr>
        <w:t xml:space="preserve">) or solely as a result of acts or omissions by the Trustee or any Holder not arising as a result of a breach of the Note Documents by any Group Member, or the satisfaction in full in cash of all of the Obligations (other than contingent indemnification obligations and unasserted expense reimbursement obligations), ceases to be in full force and effect or, in the case of any Security Document, ceases to create a valid and perfected (A) first priority lien (subject to Permitted Liens) on the Notes Priority Collateral covered thereby and (B) second priority lien (subject to Permitted Liens) on the ABL Priority Collateral covered thereby; or any material Guarantee for any reason other than as expressly permitted hereunder (including as a result of a transaction permitted under </w:t>
      </w:r>
      <w:r>
        <w:rPr>
          <w:rFonts w:ascii="Times New Roman" w:hAnsi="Times New Roman"/>
          <w:sz w:val="20"/>
          <w:u w:val="single"/>
        </w:rPr>
        <w:t>Section 6.04</w:t>
      </w:r>
      <w:r>
        <w:rPr>
          <w:rFonts w:ascii="Times New Roman" w:hAnsi="Times New Roman"/>
          <w:sz w:val="20"/>
        </w:rPr>
        <w:t xml:space="preserve"> or </w:t>
      </w:r>
      <w:r>
        <w:rPr>
          <w:rFonts w:ascii="Times New Roman" w:hAnsi="Times New Roman"/>
          <w:sz w:val="20"/>
          <w:u w:val="single"/>
        </w:rPr>
        <w:t>Section 6.05</w:t>
      </w:r>
      <w:r>
        <w:rPr>
          <w:rFonts w:ascii="Times New Roman" w:hAnsi="Times New Roman"/>
          <w:sz w:val="20"/>
        </w:rPr>
        <w:t xml:space="preserve">) or solely as a result of acts or omissions by the Trustee or any Holder not arising as a result of a breach of the Note Documents by any Group Member, or the satisfaction in full of all of the guaranteed obligations (other than contingent indemnification obligations, unasserted expense reimbursement obligations), ceases to be in full force and effect; or any Note Party contests in writing the validity or enforceability of any material provision of any Note Document or any material Guarantee other than as a result of the express provisions hereof or thereof; or any Note Party contests in writing the validity or enforceability of any material provision of an Intercreditor Agreement or subordination agreement; or any Note Party denies in writing that it has any or further liability or obligation under any material provision of any Note Document or any material Guarantee (in each case, other than as a result of the express provisions hereof or thereof or repayment in full in cash of the Obligations (other than contingent indemnification obligations, unasserted expense reimbursement obligations)), or purports in writing to revoke or rescind any material portion of any Note Document, the grant or assignment of any material security interest or any material Guarantee; or </w:t>
      </w:r>
    </w:p>
    <w:p>
      <w:pPr>
        <w:pStyle w:val="TextBody"/>
        <w:bidi w:val="0"/>
        <w:spacing w:before="240" w:after="0"/>
        <w:jc w:val="left"/>
        <w:rPr>
          <w:rFonts w:ascii="Times New Roman" w:hAnsi="Times New Roman"/>
          <w:sz w:val="20"/>
        </w:rPr>
      </w:pPr>
      <w:r>
        <w:rPr>
          <w:rFonts w:ascii="Times New Roman" w:hAnsi="Times New Roman"/>
          <w:sz w:val="20"/>
        </w:rPr>
        <w:t xml:space="preserve">(k) there shall have occurred an ERISA Event that, when taken either alone or together with all such other ERISA Events,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an event with respect to a Note Party described in </w:t>
      </w:r>
      <w:r>
        <w:rPr>
          <w:rFonts w:ascii="Times New Roman" w:hAnsi="Times New Roman"/>
          <w:sz w:val="20"/>
          <w:u w:val="single"/>
        </w:rPr>
        <w:t>clause (g)</w:t>
      </w:r>
      <w:r>
        <w:rPr>
          <w:rFonts w:ascii="Times New Roman" w:hAnsi="Times New Roman"/>
          <w:sz w:val="20"/>
        </w:rPr>
        <w:t xml:space="preserve"> or </w:t>
      </w:r>
      <w:r>
        <w:rPr>
          <w:rFonts w:ascii="Times New Roman" w:hAnsi="Times New Roman"/>
          <w:sz w:val="20"/>
          <w:u w:val="single"/>
        </w:rPr>
        <w:t>(h)</w:t>
      </w:r>
      <w:r>
        <w:rPr>
          <w:rFonts w:ascii="Times New Roman" w:hAnsi="Times New Roman"/>
          <w:sz w:val="20"/>
        </w:rPr>
        <w:t xml:space="preserve"> above), and at any time thereafter during the continuance of such event, the Controlling Parties or the Trustee, with the prior consent of the Controlling Parties, may and at the request of the Controlling Parties, shall, by notice to the Issuer, take either or both of the following actions, at the same or different times, subject to the terms of any applicable Intercreditor Agreement or subordination agreement declare the Notes then outstanding to be forthwith due and payable immediately, whereupon the principal of, premium, if any, and accrued and unpaid interest, if any, on all of the Notes then outstanding to be due and payable immediately, together with any unpaid accrued fees and all other Obligations of the Issuer accrued hereunder and under any other Note Document, shall become forthwith due and payable immediately, without presentment, demand, protest or any other notice of any kind, all of which are hereby expressly waived by the Issuer and the Guarantors, anything contained herein or in any other Note Document to the contrary notwithstanding. If an Event of Default specified in </w:t>
      </w:r>
      <w:r>
        <w:rPr>
          <w:rFonts w:ascii="Times New Roman" w:hAnsi="Times New Roman"/>
          <w:sz w:val="20"/>
          <w:u w:val="single"/>
        </w:rPr>
        <w:t>clause (g)</w:t>
      </w:r>
      <w:r>
        <w:rPr>
          <w:rFonts w:ascii="Times New Roman" w:hAnsi="Times New Roman"/>
          <w:sz w:val="20"/>
        </w:rPr>
        <w:t xml:space="preserve"> or </w:t>
      </w:r>
      <w:r>
        <w:rPr>
          <w:rFonts w:ascii="Times New Roman" w:hAnsi="Times New Roman"/>
          <w:sz w:val="20"/>
          <w:u w:val="single"/>
        </w:rPr>
        <w:t>(h)</w:t>
      </w:r>
      <w:r>
        <w:rPr>
          <w:rFonts w:ascii="Times New Roman" w:hAnsi="Times New Roman"/>
          <w:sz w:val="20"/>
        </w:rPr>
        <w:t xml:space="preserve"> above occurs, then all outstanding Notes shall become forthwith due and payable immediately, whereupon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of, premium, if any, and accrued and unpaid interest, if any, on all of the Notes then outstanding to be due and payable immediately, together with any unpaid accrued fees and all other Obligations of the Issuer accrued hereunder and under any other Note Document, shall become forthwith due and payable immediately, without presentment, demand, protest or any other notice of any kind, all of which are hereby expressly waived by the Issuer and the Guarantors, anything contained herein or in any other Note Document to the contrary notwithstanding. </w:t>
      </w:r>
    </w:p>
    <w:p>
      <w:pPr>
        <w:pStyle w:val="TextBody"/>
        <w:bidi w:val="0"/>
        <w:spacing w:before="240" w:after="0"/>
        <w:jc w:val="left"/>
        <w:rPr>
          <w:rFonts w:ascii="Times New Roman" w:hAnsi="Times New Roman"/>
          <w:sz w:val="20"/>
        </w:rPr>
      </w:pPr>
      <w:r>
        <w:rPr>
          <w:rFonts w:ascii="Times New Roman" w:hAnsi="Times New Roman"/>
          <w:sz w:val="20"/>
        </w:rPr>
        <w:t xml:space="preserve">If the Notes are accelerated or otherwise become due prior to their stated maturity, in each case as a result of an Event of Default (including, but not limited to, an Event of Default specified in this </w:t>
      </w:r>
      <w:r>
        <w:rPr>
          <w:rFonts w:ascii="Times New Roman" w:hAnsi="Times New Roman"/>
          <w:sz w:val="20"/>
          <w:u w:val="single"/>
        </w:rPr>
        <w:t>Section 8.01</w:t>
      </w:r>
      <w:r>
        <w:rPr>
          <w:rFonts w:ascii="Times New Roman" w:hAnsi="Times New Roman"/>
          <w:sz w:val="20"/>
        </w:rPr>
        <w:t xml:space="preserve"> (including the acceleration of any portion of the Obligations evidenced by the Notes by operation of law)), then the additional amount that shall then be due and payable on the Premium Effective Date shall be equal to the applicable redemption price (expressed as a percentage of principal amount) in effect on the Premium Effective Date in accordance with the terms specified in clauses (a) and (b) of </w:t>
      </w:r>
      <w:r>
        <w:rPr>
          <w:rFonts w:ascii="Times New Roman" w:hAnsi="Times New Roman"/>
          <w:sz w:val="20"/>
          <w:u w:val="single"/>
        </w:rPr>
        <w:t>Section 3.07</w:t>
      </w:r>
      <w:r>
        <w:rPr>
          <w:rFonts w:ascii="Times New Roman" w:hAnsi="Times New Roman"/>
          <w:sz w:val="20"/>
        </w:rPr>
        <w:t xml:space="preserve"> hereof, as applicable, (the “</w:t>
      </w:r>
      <w:r>
        <w:rPr>
          <w:rFonts w:ascii="Times New Roman" w:hAnsi="Times New Roman"/>
          <w:b/>
          <w:sz w:val="20"/>
        </w:rPr>
        <w:t>Redemption Price</w:t>
      </w:r>
      <w:r>
        <w:rPr>
          <w:rFonts w:ascii="Times New Roman" w:hAnsi="Times New Roman"/>
          <w:sz w:val="20"/>
        </w:rPr>
        <w:t xml:space="preserve">”), in each case, as if such acceleration gave rise to an optional redemption of the Notes (including, for the avoidance of doubt an optional redemption made pursuant to the terms set forth in </w:t>
      </w:r>
      <w:r>
        <w:rPr>
          <w:rFonts w:ascii="Times New Roman" w:hAnsi="Times New Roman"/>
          <w:sz w:val="20"/>
          <w:u w:val="single"/>
        </w:rPr>
        <w:t>Section 3.07</w:t>
      </w:r>
      <w:r>
        <w:rPr>
          <w:rFonts w:ascii="Times New Roman" w:hAnsi="Times New Roman"/>
          <w:sz w:val="20"/>
        </w:rPr>
        <w:t xml:space="preserve">) so accelerated on the Premium Effective Date. Without limiting the generality of the foregoing, it is understood and agreed that if the Notes are accelerated or otherwise become due prior to their stated maturity, in each case, as a result of an Event of Default (including, but not limited to, an Event of Default specified in this </w:t>
      </w:r>
      <w:r>
        <w:rPr>
          <w:rFonts w:ascii="Times New Roman" w:hAnsi="Times New Roman"/>
          <w:sz w:val="20"/>
          <w:u w:val="single"/>
        </w:rPr>
        <w:t>Section 8.01</w:t>
      </w:r>
      <w:r>
        <w:rPr>
          <w:rFonts w:ascii="Times New Roman" w:hAnsi="Times New Roman"/>
          <w:sz w:val="20"/>
        </w:rPr>
        <w:t xml:space="preserve"> (including the acceleration of any portion of the Indebtedness evidenced by the Notes by operation of law)), the amount by which the applicable Redemption Price exceeds the principal amount of the Notes (the “</w:t>
      </w:r>
      <w:r>
        <w:rPr>
          <w:rFonts w:ascii="Times New Roman" w:hAnsi="Times New Roman"/>
          <w:b/>
          <w:sz w:val="20"/>
        </w:rPr>
        <w:t>Redemption Price Premium</w:t>
      </w:r>
      <w:r>
        <w:rPr>
          <w:rFonts w:ascii="Times New Roman" w:hAnsi="Times New Roman"/>
          <w:sz w:val="20"/>
        </w:rPr>
        <w:t xml:space="preserve">”) with respect to an optional redemption of the Notes shall be due and payable as though the Notes had been optionally redeemed on the Premium Effective Date and shall constitute part of the Obligations with respect to the Notes in view of the impracticability and difficulty of ascertaining actual damages and by mutual agreement of the parties as to a reasonable calculation of lost profits of each of the holders of such Notes as a result thereof. The Redemption Price Premium shall be presumed to be liquidated damages sustained by each holder of Notes as the result of the payment or settlement of the Notes or a claim in a proceeding described in this </w:t>
      </w:r>
      <w:r>
        <w:rPr>
          <w:rFonts w:ascii="Times New Roman" w:hAnsi="Times New Roman"/>
          <w:sz w:val="20"/>
          <w:u w:val="single"/>
        </w:rPr>
        <w:t>Section 8.01</w:t>
      </w:r>
      <w:r>
        <w:rPr>
          <w:rFonts w:ascii="Times New Roman" w:hAnsi="Times New Roman"/>
          <w:sz w:val="20"/>
        </w:rPr>
        <w:t xml:space="preserve"> in respect of the Notes, in each case arising out of the acceleration of the Notes, or in the event the Notes or this Indenture are satisfied, released or discharged through foreclosure after acceleration of the Notes, whether by judicial proceeding, deed in lieu of foreclosure or by any other means (the date of such payment, settlement, satisfaction, release or discharge being the “</w:t>
      </w:r>
      <w:r>
        <w:rPr>
          <w:rFonts w:ascii="Times New Roman" w:hAnsi="Times New Roman"/>
          <w:b/>
          <w:sz w:val="20"/>
        </w:rPr>
        <w:t>Premium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 Event of Default specified in </w:t>
      </w:r>
      <w:r>
        <w:rPr>
          <w:rFonts w:ascii="Times New Roman" w:hAnsi="Times New Roman"/>
          <w:sz w:val="20"/>
          <w:u w:val="single"/>
        </w:rPr>
        <w:t>Section 8.01(f)</w:t>
      </w:r>
      <w:r>
        <w:rPr>
          <w:rFonts w:ascii="Times New Roman" w:hAnsi="Times New Roman"/>
          <w:sz w:val="20"/>
        </w:rPr>
        <w:t xml:space="preserve"> above, such Event of Default and all consequences thereof will be annulled, waived and rescinded with respect to the Notes, automatically and without any action by the Trustee or the Holders, if within 30 days after such Event of Default first arose the Issuer delivers an Officer’s Certificate stating that (a) the Indebtedness or Guarantee that is the basis for such Event of Default has been paid or discharged, (b) the holders of the Indebtedness have rescinded or waived the acceleration giving rise to such Event of Default or (c) the default that is the basis for such Event of Default has been otherwise cured;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an acceleration of the principal amount of the Notes as described above be annulled, waived or rescinded upon the happening of any such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such acceleration, but before a judgment or decree based on acceleration, the Controlling Parties may rescind and annul such acceleration and its consequences if: </w:t>
      </w:r>
    </w:p>
    <w:p>
      <w:pPr>
        <w:pStyle w:val="TextBody"/>
        <w:bidi w:val="0"/>
        <w:spacing w:before="120" w:after="0"/>
        <w:jc w:val="left"/>
        <w:rPr>
          <w:rFonts w:ascii="Times New Roman" w:hAnsi="Times New Roman"/>
          <w:sz w:val="20"/>
        </w:rPr>
      </w:pPr>
      <w:r>
        <w:rPr>
          <w:rFonts w:ascii="Times New Roman" w:hAnsi="Times New Roman"/>
          <w:sz w:val="20"/>
        </w:rPr>
        <w:t xml:space="preserve">(1) the rescission would not conflict with any judgment or decree; </w:t>
      </w:r>
    </w:p>
    <w:p>
      <w:pPr>
        <w:pStyle w:val="TextBody"/>
        <w:bidi w:val="0"/>
        <w:spacing w:before="120" w:after="0"/>
        <w:jc w:val="left"/>
        <w:rPr>
          <w:rFonts w:ascii="Times New Roman" w:hAnsi="Times New Roman"/>
          <w:sz w:val="20"/>
        </w:rPr>
      </w:pPr>
      <w:r>
        <w:rPr>
          <w:rFonts w:ascii="Times New Roman" w:hAnsi="Times New Roman"/>
          <w:sz w:val="20"/>
        </w:rPr>
        <w:t xml:space="preserve">(2) all existing Events of Default have been cured or waived other than nonpayment of accelerated principal and interest; </w:t>
      </w:r>
    </w:p>
    <w:p>
      <w:pPr>
        <w:pStyle w:val="TextBody"/>
        <w:bidi w:val="0"/>
        <w:spacing w:before="120" w:after="0"/>
        <w:jc w:val="left"/>
        <w:rPr>
          <w:rFonts w:ascii="Times New Roman" w:hAnsi="Times New Roman"/>
          <w:sz w:val="20"/>
        </w:rPr>
      </w:pPr>
      <w:r>
        <w:rPr>
          <w:rFonts w:ascii="Times New Roman" w:hAnsi="Times New Roman"/>
          <w:sz w:val="20"/>
        </w:rPr>
        <w:t xml:space="preserve">(3) to the extent the payment of such interest is lawful, interest on overdue installments of interest and overdue principal, which has become due otherwise than by such declaration of acceleration, has been paid; and </w:t>
      </w:r>
    </w:p>
    <w:p>
      <w:pPr>
        <w:pStyle w:val="TextBody"/>
        <w:bidi w:val="0"/>
        <w:spacing w:before="120" w:after="0"/>
        <w:jc w:val="left"/>
        <w:rPr>
          <w:rFonts w:ascii="Times New Roman" w:hAnsi="Times New Roman"/>
          <w:sz w:val="20"/>
        </w:rPr>
      </w:pPr>
      <w:r>
        <w:rPr>
          <w:rFonts w:ascii="Times New Roman" w:hAnsi="Times New Roman"/>
          <w:sz w:val="20"/>
        </w:rPr>
        <w:t xml:space="preserve">(4) the Issuer has paid the Trustee and the Collateral Agent its reasonable compensation and reimbursed the Trustee and the Collateral Agent for its reasonable expenses, disbursements and advances.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any redemption, prepayment, repayment, or payment of the Obligations in or in connection with an Insolvency Event shall constitute an optional prepayment thereof under the terms of </w:t>
      </w:r>
      <w:r>
        <w:rPr>
          <w:rFonts w:ascii="Times New Roman" w:hAnsi="Times New Roman"/>
          <w:sz w:val="20"/>
          <w:u w:val="single"/>
        </w:rPr>
        <w:t>Section 3.07</w:t>
      </w:r>
      <w:r>
        <w:rPr>
          <w:rFonts w:ascii="Times New Roman" w:hAnsi="Times New Roman"/>
          <w:sz w:val="20"/>
        </w:rPr>
        <w:t xml:space="preserve"> and require the immediate payment of the amounts set forth in </w:t>
      </w:r>
      <w:r>
        <w:rPr>
          <w:rFonts w:ascii="Times New Roman" w:hAnsi="Times New Roman"/>
          <w:sz w:val="20"/>
          <w:u w:val="single"/>
        </w:rPr>
        <w:t>Section 3.07</w:t>
      </w:r>
      <w:r>
        <w:rPr>
          <w:rFonts w:ascii="Times New Roman" w:hAnsi="Times New Roman"/>
          <w:sz w:val="20"/>
        </w:rPr>
        <w:t xml:space="preserve">, in view of the impracticability and extreme difficulty of ascertaining actual damages and by mutual agreement of the parties as to a reasonable calculation of each Holder’s lost profits as a result thereof. Any amount payable pursuant to </w:t>
      </w:r>
      <w:r>
        <w:rPr>
          <w:rFonts w:ascii="Times New Roman" w:hAnsi="Times New Roman"/>
          <w:sz w:val="20"/>
          <w:u w:val="single"/>
        </w:rPr>
        <w:t>Section 3.07</w:t>
      </w:r>
      <w:r>
        <w:rPr>
          <w:rFonts w:ascii="Times New Roman" w:hAnsi="Times New Roman"/>
          <w:sz w:val="20"/>
        </w:rPr>
        <w:t xml:space="preserve"> shall be presumed to be the liquidated damages sustained by each Holder as the result of the early repayment or prepayment of the Notes and the Issuer agrees that it is reasonable under the circumstances currently existing. THE ISSUER EXPRESSLY WAIVES (TO THE FULLEST EXTENT THEY MAY LAWFULLY DO SO) THE PROVISIONS OF ANY PRESENT OR FUTURE STATUTE OR LAW THAT PROHIBITS OR MAY PROHIBIT THE COLLECTION OF THE FOREGOING PREMIUMS IN CONNECTION WITH ANY SUCH ACCELERATION. The Issuer expressly agrees (to the fullest extent it may lawfully do so) that: (A) the amounts set forth in </w:t>
      </w:r>
      <w:r>
        <w:rPr>
          <w:rFonts w:ascii="Times New Roman" w:hAnsi="Times New Roman"/>
          <w:sz w:val="20"/>
          <w:u w:val="single"/>
        </w:rPr>
        <w:t>Section 3.07</w:t>
      </w:r>
      <w:r>
        <w:rPr>
          <w:rFonts w:ascii="Times New Roman" w:hAnsi="Times New Roman"/>
          <w:sz w:val="20"/>
        </w:rPr>
        <w:t xml:space="preserve"> are reasonable and are the product of an arm’s length transaction between sophisticated business people, ably represented by counsel; (B) the amounts set forth in </w:t>
      </w:r>
      <w:r>
        <w:rPr>
          <w:rFonts w:ascii="Times New Roman" w:hAnsi="Times New Roman"/>
          <w:sz w:val="20"/>
          <w:u w:val="single"/>
        </w:rPr>
        <w:t>Section 3.07</w:t>
      </w:r>
      <w:r>
        <w:rPr>
          <w:rFonts w:ascii="Times New Roman" w:hAnsi="Times New Roman"/>
          <w:sz w:val="20"/>
        </w:rPr>
        <w:t xml:space="preserve"> shall be payable notwithstanding the then prevailing market rates at the time payment or redemption is made; (C) there has been a course of conduct between Holders and the Issuer giving specific consideration in this transaction for such agreement to pay the amounts set forth in </w:t>
      </w:r>
      <w:r>
        <w:rPr>
          <w:rFonts w:ascii="Times New Roman" w:hAnsi="Times New Roman"/>
          <w:sz w:val="20"/>
          <w:u w:val="single"/>
        </w:rPr>
        <w:t>Section 3.07</w:t>
      </w:r>
      <w:r>
        <w:rPr>
          <w:rFonts w:ascii="Times New Roman" w:hAnsi="Times New Roman"/>
          <w:sz w:val="20"/>
        </w:rPr>
        <w:t xml:space="preserve"> and (D) the Issuer shall be estopped hereafter from claiming differently than as agreed to in this paragraph. Each Note Party expressly acknowledges that its agreement to pay or guarantee the payment (as applicable) of the amounts set forth in </w:t>
      </w:r>
      <w:r>
        <w:rPr>
          <w:rFonts w:ascii="Times New Roman" w:hAnsi="Times New Roman"/>
          <w:sz w:val="20"/>
          <w:u w:val="single"/>
        </w:rPr>
        <w:t>Section 3.07</w:t>
      </w:r>
      <w:r>
        <w:rPr>
          <w:rFonts w:ascii="Times New Roman" w:hAnsi="Times New Roman"/>
          <w:sz w:val="20"/>
        </w:rPr>
        <w:t xml:space="preserve"> to the Holders as herein described is a material inducement to Holders to make (or be deemed to make) the Notes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Other Remedies</w:t>
      </w:r>
      <w:r>
        <w:rPr>
          <w:rFonts w:ascii="Times New Roman" w:hAnsi="Times New Roman"/>
          <w:sz w:val="20"/>
        </w:rPr>
        <w:t xml:space="preserve">. If an Event of Default occurs and is continuing, the Trustee may pursue any available remedy to collect the payment of principal, premium, if any, and interest, if any, on the Notes or to enforce the performance of any provision of the Notes or this Indenture. 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Waiver of Past Defaults</w:t>
      </w:r>
      <w:r>
        <w:rPr>
          <w:rFonts w:ascii="Times New Roman" w:hAnsi="Times New Roman"/>
          <w:sz w:val="20"/>
        </w:rPr>
        <w:t xml:space="preserve">. Subject to </w:t>
      </w:r>
      <w:r>
        <w:rPr>
          <w:rFonts w:ascii="Times New Roman" w:hAnsi="Times New Roman"/>
          <w:sz w:val="20"/>
          <w:u w:val="single"/>
        </w:rPr>
        <w:t>Section 12.02</w:t>
      </w:r>
      <w:r>
        <w:rPr>
          <w:rFonts w:ascii="Times New Roman" w:hAnsi="Times New Roman"/>
          <w:sz w:val="20"/>
        </w:rPr>
        <w:t xml:space="preserve">, the Holders of a majority in aggregate principal amount of the Notes then outstanding by written notice to the Trustee and the Collateral Agent may, on behalf of the Holders of all of the Notes, waive any existing Default or Event of Default and its consequences under this Indenture except a continuing Default or Event of Default in the payment of the principal of, premium, if any, or interest on the Notes. Upon any such waiver, such Default shall cease to exist, and any Event of Default arising therefrom shall be deemed to have been cured, for every purpose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Control by Majority</w:t>
      </w:r>
      <w:r>
        <w:rPr>
          <w:rFonts w:ascii="Times New Roman" w:hAnsi="Times New Roman"/>
          <w:sz w:val="20"/>
        </w:rPr>
        <w:t xml:space="preserve">. The Holders of a majority in aggregate principal amount of the then outstanding Notes may direct the time, method and place of conducting any proceeding for exercising any remedy available to the Trustee or the Collateral Agent or exercising any trust power conferred on them. However, (a) the Trustee or the Collateral Agent may refuse to follow any direction that conflicts with law or this Indenture, that may involve the Trustee or the Collateral Agent in personal liability, or that the Trustee or the Collateral Agent determines in good faith may be unduly prejudicial to the rights of Holders not joining in the giving of such direction and (b) the Trustee or the Collateral Agent may take any other action it deems proper that is not inconsistent with any such direction received from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Limitation on Suits</w:t>
      </w:r>
      <w:r>
        <w:rPr>
          <w:rFonts w:ascii="Times New Roman" w:hAnsi="Times New Roman"/>
          <w:sz w:val="20"/>
        </w:rPr>
        <w:t xml:space="preserve">. A Holder may pursue a remedy with respect to this Indenture or the Notes (subject to the Intercreditor Agreement) only if: </w:t>
      </w:r>
    </w:p>
    <w:p>
      <w:pPr>
        <w:pStyle w:val="TextBody"/>
        <w:bidi w:val="0"/>
        <w:spacing w:before="240" w:after="0"/>
        <w:jc w:val="left"/>
        <w:rPr>
          <w:rFonts w:ascii="Times New Roman" w:hAnsi="Times New Roman"/>
          <w:sz w:val="20"/>
        </w:rPr>
      </w:pPr>
      <w:r>
        <w:rPr>
          <w:rFonts w:ascii="Times New Roman" w:hAnsi="Times New Roman"/>
          <w:sz w:val="20"/>
        </w:rPr>
        <w:t xml:space="preserve">(a) the Holder gives to the Trustee written notice of a continuing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 the Controlling Parties make a written request to the Trustee to pursue the remedy;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offer the Trustee indemnity satisfactory to the Trustee against any costs,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does not comply with the request within 60 days after receipt of the request and the offer of indemnity; and </w:t>
      </w:r>
    </w:p>
    <w:p>
      <w:pPr>
        <w:pStyle w:val="TextBody"/>
        <w:bidi w:val="0"/>
        <w:spacing w:before="240" w:after="0"/>
        <w:jc w:val="left"/>
        <w:rPr>
          <w:rFonts w:ascii="Times New Roman" w:hAnsi="Times New Roman"/>
          <w:sz w:val="20"/>
        </w:rPr>
      </w:pPr>
      <w:r>
        <w:rPr>
          <w:rFonts w:ascii="Times New Roman" w:hAnsi="Times New Roman"/>
          <w:sz w:val="20"/>
        </w:rPr>
        <w:t xml:space="preserve">(e) during such 60-day period, the Holders of a majority in aggregate principal amount of the outstanding Notes do not give the Trustee a direction that is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A Holder may not use this Indenture to prejudice the rights of another Holder or to obtain a preference or priority over another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Rights of Holders of Notes to Receive Payment</w:t>
      </w:r>
      <w:r>
        <w:rPr>
          <w:rFonts w:ascii="Times New Roman" w:hAnsi="Times New Roman"/>
          <w:sz w:val="20"/>
        </w:rPr>
        <w:t xml:space="preserve">. Notwithstanding any other provision of this Indenture, the contractual right of any Holder to receive payment of principal of, premium, if any, or interest on, such Note or to bring suit for the enforcement of any such payment, on or after the due date expressed in the Notes, shall not be modified without the consent of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Collection Suit by Trustee</w:t>
      </w:r>
      <w:r>
        <w:rPr>
          <w:rFonts w:ascii="Times New Roman" w:hAnsi="Times New Roman"/>
          <w:sz w:val="20"/>
        </w:rPr>
        <w:t xml:space="preserve">. If an Event of Default specified in </w:t>
      </w:r>
      <w:r>
        <w:rPr>
          <w:rFonts w:ascii="Times New Roman" w:hAnsi="Times New Roman"/>
          <w:sz w:val="20"/>
          <w:u w:val="single"/>
        </w:rPr>
        <w:t>Section 8.01(a)</w:t>
      </w:r>
      <w:r>
        <w:rPr>
          <w:rFonts w:ascii="Times New Roman" w:hAnsi="Times New Roman"/>
          <w:sz w:val="20"/>
        </w:rPr>
        <w:t xml:space="preserve"> or </w:t>
      </w:r>
      <w:r>
        <w:rPr>
          <w:rFonts w:ascii="Times New Roman" w:hAnsi="Times New Roman"/>
          <w:sz w:val="20"/>
          <w:u w:val="single"/>
        </w:rPr>
        <w:t>8.01(b)</w:t>
      </w:r>
      <w:r>
        <w:rPr>
          <w:rFonts w:ascii="Times New Roman" w:hAnsi="Times New Roman"/>
          <w:sz w:val="20"/>
        </w:rPr>
        <w:t xml:space="preserve"> occurs and is continuing, the Trustee is authorized to recover judgment in its own name and as trustee of an express trust against the Issuer for the whole amount of principal of premium and interest remaining unpaid on the Notes and interest on overdue principal and, to the extent lawful, such further amount as shall be sufficient to cover the costs and expenses of collection, including the reasonable compensation, expenses, disbursements and advances of the Trustee, the Collateral Agent, their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Trustee May File Proofs of Claim</w:t>
      </w:r>
      <w:r>
        <w:rPr>
          <w:rFonts w:ascii="Times New Roman" w:hAnsi="Times New Roman"/>
          <w:sz w:val="20"/>
        </w:rPr>
        <w:t xml:space="preserve">. The Trustee is authorized to file such proofs of claim and other papers or documents as may be necessary or advisable in order to have the claims of the Trustee and the Collateral Agent (including any claim for the reasonable compensation, expenses, disbursements and advances of the Trustee, the Collateral Agent, their agents and counsel) and the Holders allowed in any judicial proceedings relative to the Issuer (or any other obligor upon the Notes), its creditors or its property and shall be entitled and empowered to collect, receive and distribute any money or other securities or property payable or deliverable upon the conversion or exchange of the Notes or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the Collateral Agent, their agents and counsel, and any other amounts due the Trustee or Collateral Agent under Section 9.06. To the extent that the payment of any such compensation, expenses, disbursements and advances to the Trustee, the Collateral Agent, their agents and counsel, and any other amounts due the Trustee or Collateral Agent under Section 9.06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in this Section 8.08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Application of Proceeds</w:t>
      </w:r>
      <w:r>
        <w:rPr>
          <w:rFonts w:ascii="Times New Roman" w:hAnsi="Times New Roman"/>
          <w:sz w:val="20"/>
        </w:rPr>
        <w:t xml:space="preserve">. Subject to the terms of any applicable Intercreditor Agreement, the proceeds received by the Trustee or the Collateral Agent in respect of any sale of, collection from or other realization upon all or any part of the Collateral or the Guarantees pursuant to the exercise by the Trustee or the Collateral Agent, as the case may be, in accordance with the terms of the Note Documents, of its remedies shall be applied, in full or in part, together with any other sums then held by the Collateral Agent pursuant to this Indenture, promptly by the Trustee or the Collateral Agent, as the case may be,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first</w:t>
      </w:r>
      <w:r>
        <w:rPr>
          <w:rFonts w:ascii="Times New Roman" w:hAnsi="Times New Roman"/>
          <w:sz w:val="20"/>
        </w:rPr>
        <w:t xml:space="preserve">, to the payment of all reasonable and documented costs and expenses, fees, commissions and taxes of such sale, collection or other realization including compensation to the Trustee, the Collateral Agent and their respective agents and counsel, and all expenses, liabilities and advances made or incurred by the Trustee or the Collateral Agent in connection therewith and all amounts for which the Trustee or the Collateral Agent is entitled to indemnification pursuant to the provisions of any Note Document, together with interest on each such amount at the highest rate then in effect under this Indenture from and after the date such amount is due, owing and unpaid until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second</w:t>
      </w:r>
      <w:r>
        <w:rPr>
          <w:rFonts w:ascii="Times New Roman" w:hAnsi="Times New Roman"/>
          <w:sz w:val="20"/>
        </w:rPr>
        <w:t xml:space="preserve">, to the payment of all other reasonable and documented costs and expenses of such sale, collection or other realization including compensation to the other Secured Parties and their agents and counsel and all costs, liabilities and advances made or incurred by the other Secured Parties in connection therewith, together with interest on each such amount at the highest rate then in effect under this Indenture from and after the date such amount is due, owing and unpaid until paid in full;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third</w:t>
      </w:r>
      <w:r>
        <w:rPr>
          <w:rFonts w:ascii="Times New Roman" w:hAnsi="Times New Roman"/>
          <w:sz w:val="20"/>
        </w:rPr>
        <w:t xml:space="preserve">, without duplication of amounts applied pursuant to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to the payment in full in cash, </w:t>
      </w:r>
      <w:r>
        <w:rPr>
          <w:rFonts w:ascii="Times New Roman" w:hAnsi="Times New Roman"/>
          <w:i/>
          <w:sz w:val="20"/>
        </w:rPr>
        <w:t>pro rata</w:t>
      </w:r>
      <w:r>
        <w:rPr>
          <w:rFonts w:ascii="Times New Roman" w:hAnsi="Times New Roman"/>
          <w:sz w:val="20"/>
        </w:rPr>
        <w:t xml:space="preserve">, of interest and other amounts constituting Obligations (other than principal and any premium thereon) equally and ratably in accordance with the respective amounts thereof then due and owing;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fourth</w:t>
      </w:r>
      <w:r>
        <w:rPr>
          <w:rFonts w:ascii="Times New Roman" w:hAnsi="Times New Roman"/>
          <w:sz w:val="20"/>
        </w:rPr>
        <w:t xml:space="preserve">, to the payment in full in cash, </w:t>
      </w:r>
      <w:r>
        <w:rPr>
          <w:rFonts w:ascii="Times New Roman" w:hAnsi="Times New Roman"/>
          <w:i/>
          <w:sz w:val="20"/>
        </w:rPr>
        <w:t>pro rata</w:t>
      </w:r>
      <w:r>
        <w:rPr>
          <w:rFonts w:ascii="Times New Roman" w:hAnsi="Times New Roman"/>
          <w:sz w:val="20"/>
        </w:rPr>
        <w:t xml:space="preserve">, of the principal amount of the Obligations and any premium thereon; and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fifth</w:t>
      </w:r>
      <w:r>
        <w:rPr>
          <w:rFonts w:ascii="Times New Roman" w:hAnsi="Times New Roman"/>
          <w:sz w:val="20"/>
        </w:rPr>
        <w:t xml:space="preserve">, the balance, if any, to the person lawfully entitled thereto (including the applicable Note Party or its successors or assigns) or as a court of competent jurisdiction may direct.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such proceeds are insufficient to pay in full the items described in the preceding sentences of this </w:t>
      </w:r>
      <w:r>
        <w:rPr>
          <w:rFonts w:ascii="Times New Roman" w:hAnsi="Times New Roman"/>
          <w:sz w:val="20"/>
          <w:u w:val="single"/>
        </w:rPr>
        <w:t>Section 8.09</w:t>
      </w:r>
      <w:r>
        <w:rPr>
          <w:rFonts w:ascii="Times New Roman" w:hAnsi="Times New Roman"/>
          <w:sz w:val="20"/>
        </w:rPr>
        <w:t xml:space="preserve">, the Note Parties shall remain liable, jointly and severally, for any deficiency.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fix a record date and payment date for any payment to Holders pursuant to this </w:t>
      </w:r>
      <w:r>
        <w:rPr>
          <w:rFonts w:ascii="Times New Roman" w:hAnsi="Times New Roman"/>
          <w:sz w:val="20"/>
          <w:u w:val="single"/>
        </w:rPr>
        <w:t>Section 8.09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the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8.09 does not apply to a suit by the Trustee, a suit by a Holder pursuant to </w:t>
      </w:r>
      <w:r>
        <w:rPr>
          <w:rFonts w:ascii="Times New Roman" w:hAnsi="Times New Roman"/>
          <w:sz w:val="20"/>
          <w:u w:val="single"/>
        </w:rPr>
        <w:t>Section 8.06</w:t>
      </w:r>
      <w:r>
        <w:rPr>
          <w:rFonts w:ascii="Times New Roman" w:hAnsi="Times New Roman"/>
          <w:sz w:val="20"/>
        </w:rPr>
        <w:t xml:space="preserve">, or a suit by Holders of more than 10.0% in principal amount of the then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Equity Cure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contained in </w:t>
      </w:r>
      <w:r>
        <w:rPr>
          <w:rFonts w:ascii="Times New Roman" w:hAnsi="Times New Roman"/>
          <w:sz w:val="20"/>
          <w:u w:val="single"/>
        </w:rPr>
        <w:t>Section 8.01</w:t>
      </w:r>
      <w:r>
        <w:rPr>
          <w:rFonts w:ascii="Times New Roman" w:hAnsi="Times New Roman"/>
          <w:sz w:val="20"/>
        </w:rPr>
        <w:t xml:space="preserve">, but subject to </w:t>
      </w:r>
      <w:r>
        <w:rPr>
          <w:rFonts w:ascii="Times New Roman" w:hAnsi="Times New Roman"/>
          <w:sz w:val="20"/>
          <w:u w:val="single"/>
        </w:rPr>
        <w:t>Section 8.10(b)</w:t>
      </w:r>
      <w:r>
        <w:rPr>
          <w:rFonts w:ascii="Times New Roman" w:hAnsi="Times New Roman"/>
          <w:sz w:val="20"/>
        </w:rPr>
        <w:t xml:space="preserve">, solely for the purpose of determining whether an Event of Default has occurred under the Financial Covenant set forth in </w:t>
      </w:r>
      <w:r>
        <w:rPr>
          <w:rFonts w:ascii="Times New Roman" w:hAnsi="Times New Roman"/>
          <w:sz w:val="20"/>
          <w:u w:val="single"/>
        </w:rPr>
        <w:t>Section 6.08(a)</w:t>
      </w:r>
      <w:r>
        <w:rPr>
          <w:rFonts w:ascii="Times New Roman" w:hAnsi="Times New Roman"/>
          <w:sz w:val="20"/>
        </w:rPr>
        <w:t xml:space="preserve"> as of the end of and for any Test Period ending on the last day of any fiscal quarter (such fiscal quarter, a “</w:t>
      </w:r>
      <w:r>
        <w:rPr>
          <w:rFonts w:ascii="Times New Roman" w:hAnsi="Times New Roman"/>
          <w:b/>
          <w:sz w:val="20"/>
        </w:rPr>
        <w:t>Cure Quarter</w:t>
      </w:r>
      <w:r>
        <w:rPr>
          <w:rFonts w:ascii="Times New Roman" w:hAnsi="Times New Roman"/>
          <w:sz w:val="20"/>
        </w:rPr>
        <w:t xml:space="preserve">”), the Issuer shall have the right, on or prior to the fifteenth Business Day after the date on which financial statements are required to be delivered pursuant to </w:t>
      </w:r>
      <w:r>
        <w:rPr>
          <w:rFonts w:ascii="Times New Roman" w:hAnsi="Times New Roman"/>
          <w:sz w:val="20"/>
          <w:u w:val="single"/>
        </w:rPr>
        <w:t>Section 5.03(a)</w:t>
      </w:r>
      <w:r>
        <w:rPr>
          <w:rFonts w:ascii="Times New Roman" w:hAnsi="Times New Roman"/>
          <w:sz w:val="20"/>
        </w:rPr>
        <w:t xml:space="preserve"> or </w:t>
      </w:r>
      <w:r>
        <w:rPr>
          <w:rFonts w:ascii="Times New Roman" w:hAnsi="Times New Roman"/>
          <w:sz w:val="20"/>
          <w:u w:val="single"/>
        </w:rPr>
        <w:t>5.03(b)</w:t>
      </w:r>
      <w:r>
        <w:rPr>
          <w:rFonts w:ascii="Times New Roman" w:hAnsi="Times New Roman"/>
          <w:sz w:val="20"/>
        </w:rPr>
        <w:t xml:space="preserve">, as applicable,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respect to such Cure Quarter or the fiscal year ending on the last day of such Cure Quarter, as applicable (the “</w:t>
      </w:r>
      <w:r>
        <w:rPr>
          <w:rFonts w:ascii="Times New Roman" w:hAnsi="Times New Roman"/>
          <w:b/>
          <w:sz w:val="20"/>
        </w:rPr>
        <w:t>Cure Expiration Date</w:t>
      </w:r>
      <w:r>
        <w:rPr>
          <w:rFonts w:ascii="Times New Roman" w:hAnsi="Times New Roman"/>
          <w:sz w:val="20"/>
        </w:rPr>
        <w:t xml:space="preserve">”), to designate the cash proceeds of any Permitted Cure Securities issued by the Issuer on or after the first day of any such Test Period, and such cash will, if so designated by Issuer, be included in the calculation of Consolidated EBITDA solely for purposes of determining compliance with </w:t>
      </w:r>
      <w:r>
        <w:rPr>
          <w:rFonts w:ascii="Times New Roman" w:hAnsi="Times New Roman"/>
          <w:sz w:val="20"/>
          <w:u w:val="single"/>
        </w:rPr>
        <w:t>Section 6.08(a)</w:t>
      </w:r>
      <w:r>
        <w:rPr>
          <w:rFonts w:ascii="Times New Roman" w:hAnsi="Times New Roman"/>
          <w:sz w:val="20"/>
        </w:rPr>
        <w:t xml:space="preserve"> as of the end of and for the Test Period ending on the last day of such Cure Quarter and any Test Periods ending on the last day of any of the subsequent three (3) fiscal quarters (any such equity contribution so included in the calculation of Consolidated EBITDA, an “</w:t>
      </w:r>
      <w:r>
        <w:rPr>
          <w:rFonts w:ascii="Times New Roman" w:hAnsi="Times New Roman"/>
          <w:b/>
          <w:sz w:val="20"/>
        </w:rPr>
        <w:t>Equity Cure Contribution</w:t>
      </w:r>
      <w:r>
        <w:rPr>
          <w:rFonts w:ascii="Times New Roman" w:hAnsi="Times New Roman"/>
          <w:sz w:val="20"/>
        </w:rPr>
        <w:t>,” and the amount of such Equity Cure Contribution, the “</w:t>
      </w:r>
      <w:r>
        <w:rPr>
          <w:rFonts w:ascii="Times New Roman" w:hAnsi="Times New Roman"/>
          <w:b/>
          <w:sz w:val="20"/>
        </w:rPr>
        <w:t>Cure Amount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Equity Cure Contribution is Not Otherwise Applied (other than, for the avoidance of doubt pursuant to this </w:t>
      </w:r>
      <w:r>
        <w:rPr>
          <w:rFonts w:ascii="Times New Roman" w:hAnsi="Times New Roman"/>
          <w:sz w:val="20"/>
          <w:u w:val="single"/>
        </w:rPr>
        <w:t>Section 8.10(a)</w:t>
      </w:r>
      <w:r>
        <w:rPr>
          <w:rFonts w:ascii="Times New Roman" w:hAnsi="Times New Roman"/>
          <w:sz w:val="20"/>
        </w:rPr>
        <w:t xml:space="preserve">). All Equity Cure Contributions shall be disregarded for all purposes of this Indenture other than inclusion in the calculation of Consolidated EBITDA for the purpose of determining compliance with </w:t>
      </w:r>
      <w:r>
        <w:rPr>
          <w:rFonts w:ascii="Times New Roman" w:hAnsi="Times New Roman"/>
          <w:sz w:val="20"/>
          <w:u w:val="single"/>
        </w:rPr>
        <w:t>Section 6.08(a)</w:t>
      </w:r>
      <w:r>
        <w:rPr>
          <w:rFonts w:ascii="Times New Roman" w:hAnsi="Times New Roman"/>
          <w:sz w:val="20"/>
        </w:rPr>
        <w:t xml:space="preserve"> as of the end of and for the Test Period ending on the last day of such Cure Quarter and any Test Periods ending on the last day of any of the subsequent three (3) fiscal quarters, including being disregarded for purposes of the determination of the Cumulative Amount and all components thereof and any baskets or other ratios with respect to the covenants contained in </w:t>
      </w:r>
      <w:r>
        <w:rPr>
          <w:rFonts w:ascii="Times New Roman" w:hAnsi="Times New Roman"/>
          <w:sz w:val="20"/>
          <w:u w:val="single"/>
        </w:rPr>
        <w:t>Article VI</w:t>
      </w:r>
      <w:r>
        <w:rPr>
          <w:rFonts w:ascii="Times New Roman" w:hAnsi="Times New Roman"/>
          <w:sz w:val="20"/>
        </w:rPr>
        <w:t xml:space="preserve"> (other than </w:t>
      </w:r>
      <w:r>
        <w:rPr>
          <w:rFonts w:ascii="Times New Roman" w:hAnsi="Times New Roman"/>
          <w:sz w:val="20"/>
          <w:u w:val="single"/>
        </w:rPr>
        <w:t>Section 6.08(a)</w:t>
      </w:r>
      <w:r>
        <w:rPr>
          <w:rFonts w:ascii="Times New Roman" w:hAnsi="Times New Roman"/>
          <w:sz w:val="20"/>
        </w:rPr>
        <w:t xml:space="preserve">). There shall be no pro forma reduction in Consolidated Total Indebtedness (by netting or otherwise) with the proceeds of any Equity Cure Contribution for determining compliance with </w:t>
      </w:r>
      <w:r>
        <w:rPr>
          <w:rFonts w:ascii="Times New Roman" w:hAnsi="Times New Roman"/>
          <w:sz w:val="20"/>
          <w:u w:val="single"/>
        </w:rPr>
        <w:t>Section 6.08(a)</w:t>
      </w:r>
      <w:r>
        <w:rPr>
          <w:rFonts w:ascii="Times New Roman" w:hAnsi="Times New Roman"/>
          <w:sz w:val="20"/>
        </w:rPr>
        <w:t xml:space="preserve"> as of and for the Test Period ending on the last day of the Cure Quarter or any Test Periods ending on the last day of any of the subsequent (3) three fiscal quarters; </w:t>
      </w:r>
      <w:r>
        <w:rPr>
          <w:rFonts w:ascii="Times New Roman" w:hAnsi="Times New Roman"/>
          <w:i/>
          <w:sz w:val="20"/>
        </w:rPr>
        <w:t>provided</w:t>
      </w:r>
      <w:r>
        <w:rPr>
          <w:rFonts w:ascii="Times New Roman" w:hAnsi="Times New Roman"/>
          <w:sz w:val="20"/>
        </w:rPr>
        <w:t xml:space="preserve">, that, such Equity Cure Contribution shall reduce Consolidated Total Indebtedness in future fiscal quarters to the extent used to prepay any applicable Indebtedness. Notwithstanding anything to the contrary contained in </w:t>
      </w:r>
      <w:r>
        <w:rPr>
          <w:rFonts w:ascii="Times New Roman" w:hAnsi="Times New Roman"/>
          <w:sz w:val="20"/>
          <w:u w:val="single"/>
        </w:rPr>
        <w:t>Section 8.01</w:t>
      </w:r>
      <w:r>
        <w:rPr>
          <w:rFonts w:ascii="Times New Roman" w:hAnsi="Times New Roman"/>
          <w:sz w:val="20"/>
        </w:rPr>
        <w:t xml:space="preserve">, (i) upon receipt of the Cure Amount by Issuer in no greater than the amount necessary to cause the Issuer to be in compliance with </w:t>
      </w:r>
      <w:r>
        <w:rPr>
          <w:rFonts w:ascii="Times New Roman" w:hAnsi="Times New Roman"/>
          <w:sz w:val="20"/>
          <w:u w:val="single"/>
        </w:rPr>
        <w:t>Section 6.08(a)</w:t>
      </w:r>
      <w:r>
        <w:rPr>
          <w:rFonts w:ascii="Times New Roman" w:hAnsi="Times New Roman"/>
          <w:sz w:val="20"/>
        </w:rPr>
        <w:t xml:space="preserve"> as of the end of and for the Test Period ending on the last day of such Cure Quarter, the Financial Covenant under </w:t>
      </w:r>
      <w:r>
        <w:rPr>
          <w:rFonts w:ascii="Times New Roman" w:hAnsi="Times New Roman"/>
          <w:sz w:val="20"/>
          <w:u w:val="single"/>
        </w:rPr>
        <w:t>Section 6.08(a)</w:t>
      </w:r>
      <w:r>
        <w:rPr>
          <w:rFonts w:ascii="Times New Roman" w:hAnsi="Times New Roman"/>
          <w:sz w:val="20"/>
        </w:rPr>
        <w:t xml:space="preserve"> shall be deemed satisfied and complied with as of the end of and for such Test Period with the same effect as though there had been no failure to comply with the Financial Covenant under </w:t>
      </w:r>
      <w:r>
        <w:rPr>
          <w:rFonts w:ascii="Times New Roman" w:hAnsi="Times New Roman"/>
          <w:sz w:val="20"/>
          <w:u w:val="single"/>
        </w:rPr>
        <w:t>Section 6.08(a)</w:t>
      </w:r>
      <w:r>
        <w:rPr>
          <w:rFonts w:ascii="Times New Roman" w:hAnsi="Times New Roman"/>
          <w:sz w:val="20"/>
        </w:rPr>
        <w:t xml:space="preserve">, and any Default or Event of Default related to any failure to comply with </w:t>
      </w:r>
      <w:r>
        <w:rPr>
          <w:rFonts w:ascii="Times New Roman" w:hAnsi="Times New Roman"/>
          <w:sz w:val="20"/>
          <w:u w:val="single"/>
        </w:rPr>
        <w:t>Section 6.08(a)</w:t>
      </w:r>
      <w:r>
        <w:rPr>
          <w:rFonts w:ascii="Times New Roman" w:hAnsi="Times New Roman"/>
          <w:sz w:val="20"/>
        </w:rPr>
        <w:t xml:space="preserve"> shall be deemed not to have occurred for purposes of the Note Documents, and (ii) upon receipt by the Trustee of a notice from the Issuer (“</w:t>
      </w:r>
      <w:r>
        <w:rPr>
          <w:rFonts w:ascii="Times New Roman" w:hAnsi="Times New Roman"/>
          <w:b/>
          <w:sz w:val="20"/>
        </w:rPr>
        <w:t>Notice of Intent to Cure</w:t>
      </w:r>
      <w:r>
        <w:rPr>
          <w:rFonts w:ascii="Times New Roman" w:hAnsi="Times New Roman"/>
          <w:sz w:val="20"/>
        </w:rPr>
        <w:t xml:space="preserve">”) and through the Cure Expiration Date: (A) none of the Trustee, the Collateral Agent or any Holder shall exercise any of the remedial rights otherwise available to it upon an Event of Default, including the right to accelerate the Notes or to foreclose on the Collateral solely on the basis of an Event of Default having occurred as a result of a violation of </w:t>
      </w:r>
      <w:r>
        <w:rPr>
          <w:rFonts w:ascii="Times New Roman" w:hAnsi="Times New Roman"/>
          <w:sz w:val="20"/>
          <w:u w:val="single"/>
        </w:rPr>
        <w:t>Section 6.08(a)</w:t>
      </w:r>
      <w:r>
        <w:rPr>
          <w:rFonts w:ascii="Times New Roman" w:hAnsi="Times New Roman"/>
          <w:sz w:val="20"/>
        </w:rPr>
        <w:t xml:space="preserve">, unless the Equity Cure Contribution is not made on or before the Cure Expiration Date and (B) if the Equity Cure Contribution is not made on or before the Cure Expiration Date, the Trustee, the Collateral Agent and any Holder may thereafter take any actions or remedies pursuant to this Indenture and the other Note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There shall be no more than five (5) Equity Cure Contributions made during the term of this Indenture and no more than two (2) Equity Cure Contributions made during any four (4) consecutive fiscal quarters. No Equity Cure Contribution shall be any greater than the minimum amount required for the Issuer to be in compliance with </w:t>
      </w:r>
      <w:r>
        <w:rPr>
          <w:rFonts w:ascii="Times New Roman" w:hAnsi="Times New Roman"/>
          <w:sz w:val="20"/>
          <w:u w:val="single"/>
        </w:rPr>
        <w:t>Section 6.08(a)</w:t>
      </w:r>
      <w:r>
        <w:rPr>
          <w:rFonts w:ascii="Times New Roman" w:hAnsi="Times New Roman"/>
          <w:sz w:val="20"/>
        </w:rPr>
        <w:t xml:space="preserve"> in the applicable Cure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THE TRUSTEE AND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may conclusively rely, as to the truth of the statements and the correctness of the opinions expressed therein, upon certificates or opinions furnished to the Trustee and conforming to the requirements of this Indenture (but need not confirm or investigate the accuracy of mathematical calculations or other facts stated therein);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the Trustee shall examine the certificates and opinions furnished to it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liabilities for its own negligent action, its own negligent failure to act, or its own willful misconduct, except that: </w:t>
      </w:r>
    </w:p>
    <w:p>
      <w:pPr>
        <w:pStyle w:val="TextBody"/>
        <w:bidi w:val="0"/>
        <w:spacing w:before="240" w:after="0"/>
        <w:jc w:val="left"/>
        <w:rPr>
          <w:rFonts w:ascii="Times New Roman" w:hAnsi="Times New Roman"/>
          <w:sz w:val="20"/>
        </w:rPr>
      </w:pPr>
      <w:r>
        <w:rPr>
          <w:rFonts w:ascii="Times New Roman" w:hAnsi="Times New Roman"/>
          <w:sz w:val="20"/>
        </w:rPr>
        <w:t xml:space="preserve">(i) this paragraph does not limit the effect of paragraph (b) of this </w:t>
      </w:r>
      <w:r>
        <w:rPr>
          <w:rFonts w:ascii="Times New Roman" w:hAnsi="Times New Roman"/>
          <w:sz w:val="20"/>
          <w:u w:val="single"/>
        </w:rPr>
        <w:t>Section 9.01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of the Trustee, unless it is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(iii) the Trustee shall not be liable with respect to any action it takes or omits to take in good faith in accordance with a direction received by it pursuant to Section 8.04; and </w:t>
      </w:r>
    </w:p>
    <w:p>
      <w:pPr>
        <w:pStyle w:val="TextBody"/>
        <w:bidi w:val="0"/>
        <w:spacing w:before="240" w:after="0"/>
        <w:jc w:val="left"/>
        <w:rPr>
          <w:rFonts w:ascii="Times New Roman" w:hAnsi="Times New Roman"/>
          <w:sz w:val="20"/>
        </w:rPr>
      </w:pPr>
      <w:r>
        <w:rPr>
          <w:rFonts w:ascii="Times New Roman" w:hAnsi="Times New Roman"/>
          <w:sz w:val="20"/>
        </w:rPr>
        <w:t xml:space="preserve">(iv) no provision of this Indenture shall require the Trustee to expend or risk its own funds or incur any liability.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not be liable for interest on or the investment of any money received by it except as the Trustee may agree in writing with the Issuer. Money held in trust by the Trustee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(e) Whether or not therein expressly so provided, every provision of this Indenture that in any way relates to the Trustee is subject to this </w:t>
      </w:r>
      <w:r>
        <w:rPr>
          <w:rFonts w:ascii="Times New Roman" w:hAnsi="Times New Roman"/>
          <w:sz w:val="20"/>
          <w:u w:val="single"/>
        </w:rPr>
        <w:t>Section 9.01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Trustee agrees to accept and act upon facsimile, pdf or electronic transmission of documents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conclusively rely and shall be fully protected in acting or refraining from acting on any resolution, certificate, statement, instrument., opinion, notice, report, request, direction, consent, order, judgment, bond, debenture or other document (whether in original or facsimile form) believed by it to be genuine and to have been signed or presented by the proper Person. The Trustee need not investigate any fact or matter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Prior to taking, suffering or admitting any action, the Trustee may consult with counsel of the Trustee’s own choosing, and the Trustee shall be fully protected from liability in respect of any action taken, suffered or omitted by it hereunder in good faith and in conclusive reliance on the advice or opinion of such counsel.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act through its attorneys and agents and shall not be responsible for the misconduct or negligence of any attorney or agent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that it believes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specifically provided in this Indenture, any demand, request, direction or notice from the Issuer or a Guarantor shall be sufficient if signed by an Officer of the Issuer or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unless such Holders shall have offered to the Trustee security or indemnity satisfactory to the Trustee against the costs, expenses and liabilities that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documents, but the Trustee, in its discretion, may make such further inquiry or investigation into such facts or matters as it may see fit, and, if the Trustee shall determine to make such further inquiry or investigation, it shall be entitled to examine during normal business hours the books, records and premises of the Issuer, personally or by agent or attorney at the sole cost of the Issuer, subject to execution of reasonable confidentiality agreements and attorney-client privilege, and shall incur no liability or additional liability of any kind by reason of such inquiry or investigation.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rights, privileges, protections, immunities and benefits given to the Trustee, including, without limitation, its rights to be compensated and indemnified, are extended to, and shall be enforceable by, the Trustee in each of its capacities hereunder, the Collateral Agent, the Calculation Agent, the other Agents and each other agent, custodian and Person employed to act hereunder; provided that the foregoing shall not be construed to impose upon such person the duties or standard of care (including any prudent person standard)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may request that the Issuer and each of the Guarantors deliver to the Trustee an Officer’s Certificate setting forth the names of individuals and/or titles of Officers of the Issuer and each Guarantor, as applicable, authorized at such time to take specified actions pursuant to this Indenture, the Notes and the Guarantees on behalf of the Issuer and/or the Guarantors, which certificate may be signed by any Person authorized to sign an Officer’s Certificate, including any Person specified as so authorized in any such certificate previously delivered and not superseded. </w:t>
      </w:r>
    </w:p>
    <w:p>
      <w:pPr>
        <w:pStyle w:val="TextBody"/>
        <w:bidi w:val="0"/>
        <w:spacing w:before="240" w:after="0"/>
        <w:jc w:val="left"/>
        <w:rPr>
          <w:rFonts w:ascii="Times New Roman" w:hAnsi="Times New Roman"/>
          <w:sz w:val="20"/>
        </w:rPr>
      </w:pPr>
      <w:r>
        <w:rPr>
          <w:rFonts w:ascii="Times New Roman" w:hAnsi="Times New Roman"/>
          <w:sz w:val="20"/>
        </w:rPr>
        <w:t xml:space="preserve">(j) The Trustee shall not be deemed to have notice or be charged with knowledge of any Default or Event of Default unless a Responsible Officer of the Trustee has actual knowledge thereof or the Trustee shall have received from the Issuer or any other obligor upon the Notes or from any Holder written notice thereof at its address set forth in Section 13.02 and such notice references the Notes and this Indenture and states that it is an “notice of default.” In the absence of such actual knowledge or such notice, the Trustee may conclusively assume that no such Default or Event of Default exists. </w:t>
      </w:r>
    </w:p>
    <w:p>
      <w:pPr>
        <w:pStyle w:val="TextBody"/>
        <w:bidi w:val="0"/>
        <w:spacing w:before="240" w:after="0"/>
        <w:jc w:val="left"/>
        <w:rPr>
          <w:rFonts w:ascii="Times New Roman" w:hAnsi="Times New Roman"/>
          <w:sz w:val="20"/>
        </w:rPr>
      </w:pPr>
      <w:r>
        <w:rPr>
          <w:rFonts w:ascii="Times New Roman" w:hAnsi="Times New Roman"/>
          <w:sz w:val="20"/>
        </w:rPr>
        <w:t xml:space="preserve">(k)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(l) The Trustee shall not be required to give any bond or surety in respect of the performance of its powers and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(m) The Trustee will be permitted to engage in other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it acquires any conflicting interest, it must eliminate such conflict within 90 days or resign. </w:t>
      </w:r>
    </w:p>
    <w:p>
      <w:pPr>
        <w:pStyle w:val="TextBody"/>
        <w:bidi w:val="0"/>
        <w:spacing w:before="240" w:after="0"/>
        <w:jc w:val="left"/>
        <w:rPr>
          <w:rFonts w:ascii="Times New Roman" w:hAnsi="Times New Roman"/>
          <w:sz w:val="20"/>
        </w:rPr>
      </w:pPr>
      <w:r>
        <w:rPr>
          <w:rFonts w:ascii="Times New Roman" w:hAnsi="Times New Roman"/>
          <w:sz w:val="20"/>
        </w:rPr>
        <w:t xml:space="preserve">(n) Except as otherwise expressly set forth herein, the Issuer will be responsible for making calculations called for under the Notes, including but not limited to determination of redemption price, premium, if any, and any other amounts payable on the Notes. The Issuer will make the calculations in good faith and, absent manifest error, its calculations will be final and binding on the Holders of the Notes. The Issuer will provide a schedule of its calculations to the Trustee, upon request, when applicable, and the Trustee is entitled to rely conclusively on the accuracy of the Issuer’s calculations without independent verification. </w:t>
      </w:r>
    </w:p>
    <w:p>
      <w:pPr>
        <w:pStyle w:val="TextBody"/>
        <w:bidi w:val="0"/>
        <w:spacing w:before="240" w:after="0"/>
        <w:jc w:val="left"/>
        <w:rPr>
          <w:rFonts w:ascii="Times New Roman" w:hAnsi="Times New Roman"/>
          <w:sz w:val="20"/>
        </w:rPr>
      </w:pPr>
      <w:r>
        <w:rPr>
          <w:rFonts w:ascii="Times New Roman" w:hAnsi="Times New Roman"/>
          <w:sz w:val="20"/>
        </w:rPr>
        <w:t xml:space="preserve">(o) The Trustee shall not be liable for failure to perform its duties if such failure is the result of another party to the Transaction Documents failing to perform its duties.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Individual Rights of the Trustee</w:t>
      </w:r>
      <w:r>
        <w:rPr>
          <w:rFonts w:ascii="Times New Roman" w:hAnsi="Times New Roman"/>
          <w:sz w:val="20"/>
        </w:rPr>
        <w:t xml:space="preserve">. 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9.09.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Trustee’s Disclaimer</w:t>
      </w:r>
      <w:r>
        <w:rPr>
          <w:rFonts w:ascii="Times New Roman" w:hAnsi="Times New Roman"/>
          <w:sz w:val="20"/>
        </w:rPr>
        <w:t xml:space="preserve">. The Trustee shall not be responsible for and makes no representation as to the validity or adequacy of this Indenture, the Notes or any Guarantee, it shall not be accountable for the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any Officer’s Certificate delivered to the Trustee hereunder, or any other document in connection with the sale of the Notes or pursuant to this Indenture other than the Trustee’s certificate of authentication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Notice of Defaults</w:t>
      </w:r>
      <w:r>
        <w:rPr>
          <w:rFonts w:ascii="Times New Roman" w:hAnsi="Times New Roman"/>
          <w:sz w:val="20"/>
        </w:rPr>
        <w:t xml:space="preserve">. If a Default or Event of Default occurs and is continuing and if it is actually known to a Responsible Officer of the Trustee, the Trustee shall deliver to Holders a notice of the Default or Event of Default within 90 days after it occurs, unless such Default shall have been cured or waived. Except in the case of a Default or Event of Default in payment of principal of, premium, if any, or interest on any Note, the Trustee may withhold the notice if and so long as the Trustee in good faith determines that the withholding of such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shall pay to the Trustee from time to time reasonable compensation for its acceptance of this Indenture and for all services rendered by it hereunder as agreed upon in writing.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except any such expense, disbursement or advance as may be attributable to its negligence or willful misconduct. Such expenses shall include the reasonable compensation, disbursements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(b) Each of the Issuer and the Guarantors, jointly and severally, shall indemnify the Trustee (which for purposes of this </w:t>
      </w:r>
      <w:r>
        <w:rPr>
          <w:rFonts w:ascii="Times New Roman" w:hAnsi="Times New Roman"/>
          <w:sz w:val="20"/>
          <w:u w:val="single"/>
        </w:rPr>
        <w:t xml:space="preserve">Section 9.06 </w:t>
      </w:r>
      <w:r>
        <w:rPr>
          <w:rFonts w:ascii="Times New Roman" w:hAnsi="Times New Roman"/>
          <w:sz w:val="20"/>
        </w:rPr>
        <w:t xml:space="preserve">shall include its officers, directors, employees, experts, attorneys and agents) and hold it harmless against any and all claims, damages, losses, liabilities, costs or expenses incurred by it (including, without limitation, the fees and expenses of its agents and counsel) arising out of or in connection with the acceptance or administration of its duties under this Indenture or any other Note Document, the performance of its obligations and/or exercise of its rights hereunder or thereunder, including the costs and expenses of enforcing this Indenture against the Issuer or any Guarantor (including this </w:t>
      </w:r>
      <w:r>
        <w:rPr>
          <w:rFonts w:ascii="Times New Roman" w:hAnsi="Times New Roman"/>
          <w:sz w:val="20"/>
          <w:u w:val="single"/>
        </w:rPr>
        <w:t>Section 9.06</w:t>
      </w:r>
      <w:r>
        <w:rPr>
          <w:rFonts w:ascii="Times New Roman" w:hAnsi="Times New Roman"/>
          <w:sz w:val="20"/>
        </w:rPr>
        <w:t xml:space="preserve">) and defending itself against any claim (whether asserted by the Issuer or any Holder or any other Person) or liability in connection with the exercise or performance of any of its powers or duties hereunder, except to the extent any such loss, claim, damage, liability or expense shall be caused by its own gross negligence or willful misconduct. The Trustee shall notify the Issuer promptly of any claim for which it may seek indemnity. Failure by the Trustee to so notify the Issuer shall not relieve the Issuer of its obligations hereunder. In the event that defense of any such claim is assumed by the Issuer or a Guarantor, it shall be done so with the Trustee’s consent, and the Trustee may have one separate counsel, and the Issuer shall pay the reasonable fees and expenses of such counsel for the Trustee. The Issuer need not pay for any settlement made without its consent, which consent shall not be unreasonably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obligations of the Issuer and the Guarantors under this </w:t>
      </w:r>
      <w:r>
        <w:rPr>
          <w:rFonts w:ascii="Times New Roman" w:hAnsi="Times New Roman"/>
          <w:sz w:val="20"/>
          <w:u w:val="single"/>
        </w:rPr>
        <w:t>Section 9.06</w:t>
      </w:r>
      <w:r>
        <w:rPr>
          <w:rFonts w:ascii="Times New Roman" w:hAnsi="Times New Roman"/>
          <w:sz w:val="20"/>
        </w:rPr>
        <w:t xml:space="preserve"> shall survive the satisfaction and discharge of this Indenture, the payment of the Notes or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(d) To secure the Issuer’s payment obligations in this </w:t>
      </w:r>
      <w:r>
        <w:rPr>
          <w:rFonts w:ascii="Times New Roman" w:hAnsi="Times New Roman"/>
          <w:sz w:val="20"/>
          <w:u w:val="single"/>
        </w:rPr>
        <w:t>Section 9.06</w:t>
      </w:r>
      <w:r>
        <w:rPr>
          <w:rFonts w:ascii="Times New Roman" w:hAnsi="Times New Roman"/>
          <w:sz w:val="20"/>
        </w:rPr>
        <w:t xml:space="preserve">, the Trustee shall have a Lien prior to the Notes on all money or property held or collected by the Trustee, except that held in trust to pay principal or interest, if any, on particular Notes. Such Lien shall survive the satisfaction and discharge of this Indenture, the payment of the Notes and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(e) When the Trustee incurs expenses or renders services after an Event of Default specified in </w:t>
      </w:r>
      <w:r>
        <w:rPr>
          <w:rFonts w:ascii="Times New Roman" w:hAnsi="Times New Roman"/>
          <w:sz w:val="20"/>
          <w:u w:val="single"/>
        </w:rPr>
        <w:t>Section 8.01(g)</w:t>
      </w:r>
      <w:r>
        <w:rPr>
          <w:rFonts w:ascii="Times New Roman" w:hAnsi="Times New Roman"/>
          <w:sz w:val="20"/>
        </w:rPr>
        <w:t xml:space="preserve"> or </w:t>
      </w:r>
      <w:r>
        <w:rPr>
          <w:rFonts w:ascii="Times New Roman" w:hAnsi="Times New Roman"/>
          <w:sz w:val="20"/>
          <w:u w:val="single"/>
        </w:rPr>
        <w:t>8.01(h)</w:t>
      </w:r>
      <w:r>
        <w:rPr>
          <w:rFonts w:ascii="Times New Roman" w:hAnsi="Times New Roman"/>
          <w:sz w:val="20"/>
        </w:rPr>
        <w:t xml:space="preserve"> occurs, the expenses and the compensation for the services (including the fees and expenses of its agents and counsel) are intended to constitute expenses of administration under any Debtor Relief Law.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Replacement of Trustee</w:t>
      </w:r>
      <w:r>
        <w:rPr>
          <w:rFonts w:ascii="Times New Roman" w:hAnsi="Times New Roman"/>
          <w:sz w:val="20"/>
        </w:rPr>
        <w:t xml:space="preserve">. A resignation or removal of the Trustee and appointment of a successor Trustee shall become effective only upon the successor trustee’s acceptance of appointment as provided in this Section 9.07.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in writing at any time and be discharged from the trust hereby created by so notifying the Issuer in writing. The Holders of a majority in principal amount of the then outstanding Notes may remove the Trustee upon 30 days’ prior notice by so notifying the Trustee and the Issuer in writing. The Issuer may remove the Trustee if: </w:t>
      </w:r>
    </w:p>
    <w:p>
      <w:pPr>
        <w:pStyle w:val="TextBody"/>
        <w:bidi w:val="0"/>
        <w:spacing w:before="240" w:after="0"/>
        <w:jc w:val="left"/>
        <w:rPr>
          <w:rFonts w:ascii="Times New Roman" w:hAnsi="Times New Roman"/>
          <w:sz w:val="20"/>
        </w:rPr>
      </w:pPr>
      <w:r>
        <w:rPr>
          <w:rFonts w:ascii="Times New Roman" w:hAnsi="Times New Roman"/>
          <w:sz w:val="20"/>
        </w:rPr>
        <w:t xml:space="preserve">(a) the Trustee fails to comply with </w:t>
      </w:r>
      <w:r>
        <w:rPr>
          <w:rFonts w:ascii="Times New Roman" w:hAnsi="Times New Roman"/>
          <w:sz w:val="20"/>
          <w:u w:val="single"/>
        </w:rPr>
        <w:t>Section 9.09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Debtor Relief Law; </w:t>
      </w:r>
    </w:p>
    <w:p>
      <w:pPr>
        <w:pStyle w:val="TextBody"/>
        <w:bidi w:val="0"/>
        <w:spacing w:before="240" w:after="0"/>
        <w:jc w:val="left"/>
        <w:rPr>
          <w:rFonts w:ascii="Times New Roman" w:hAnsi="Times New Roman"/>
          <w:sz w:val="20"/>
        </w:rPr>
      </w:pPr>
      <w:r>
        <w:rPr>
          <w:rFonts w:ascii="Times New Roman" w:hAnsi="Times New Roman"/>
          <w:sz w:val="20"/>
        </w:rPr>
        <w:t xml:space="preserve">(c) a receiver of the Trustee or of its property is appointed or any public officer takes charge or control of the Trustee or of its property or affairs for the purpose of rehabilitation, conservation or liquidation; or </w:t>
      </w:r>
    </w:p>
    <w:p>
      <w:pPr>
        <w:pStyle w:val="TextBody"/>
        <w:bidi w:val="0"/>
        <w:spacing w:before="24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the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does not take office within 30 days after the retiring Trustee resigns or is removed, such retiring Trustee (at the expense of the Issuer), the Issuer or the Holders of at least 10.0% in principal amount of the then outstanding Notes may petition any court of competent jurisdiction for the appointment of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Trustee, after written request by any Holder who has been a Holder for at least six months, fails to comply with </w:t>
      </w:r>
      <w:r>
        <w:rPr>
          <w:rFonts w:ascii="Times New Roman" w:hAnsi="Times New Roman"/>
          <w:sz w:val="20"/>
          <w:u w:val="single"/>
        </w:rPr>
        <w:t>Section 9.09</w:t>
      </w:r>
      <w:r>
        <w:rPr>
          <w:rFonts w:ascii="Times New Roman" w:hAnsi="Times New Roman"/>
          <w:sz w:val="20"/>
        </w:rPr>
        <w:t xml:space="preserve">, such Holder may petition any court of competent jurisdiction for the removal of the Trustee and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the duties of the Trustee under this Indenture. The successor trustee shall mail a notice of its succession to the Holders. The retiring Trustee shall promptly transfer all property held by it as Trustee to the successor Trustee; </w:t>
      </w:r>
      <w:r>
        <w:rPr>
          <w:rFonts w:ascii="Times New Roman" w:hAnsi="Times New Roman"/>
          <w:i/>
          <w:sz w:val="20"/>
        </w:rPr>
        <w:t xml:space="preserve">provided </w:t>
      </w:r>
      <w:r>
        <w:rPr>
          <w:rFonts w:ascii="Times New Roman" w:hAnsi="Times New Roman"/>
          <w:sz w:val="20"/>
        </w:rPr>
        <w:t xml:space="preserve">that all sums owing to such Trustee hereunder have been paid and subject to the Lien provided for in this </w:t>
      </w:r>
      <w:r>
        <w:rPr>
          <w:rFonts w:ascii="Times New Roman" w:hAnsi="Times New Roman"/>
          <w:sz w:val="20"/>
          <w:u w:val="single"/>
        </w:rPr>
        <w:t>Section 9.07</w:t>
      </w:r>
      <w:r>
        <w:rPr>
          <w:rFonts w:ascii="Times New Roman" w:hAnsi="Times New Roman"/>
          <w:sz w:val="20"/>
        </w:rPr>
        <w:t xml:space="preserve">. Notwithstanding replacement of the Trustee pursuant to this </w:t>
      </w:r>
      <w:r>
        <w:rPr>
          <w:rFonts w:ascii="Times New Roman" w:hAnsi="Times New Roman"/>
          <w:sz w:val="20"/>
          <w:u w:val="single"/>
        </w:rPr>
        <w:t>Section 9.07</w:t>
      </w:r>
      <w:r>
        <w:rPr>
          <w:rFonts w:ascii="Times New Roman" w:hAnsi="Times New Roman"/>
          <w:sz w:val="20"/>
        </w:rPr>
        <w:t xml:space="preserve">, the Issuer’s and the Guarantors’ obligations under </w:t>
      </w:r>
      <w:r>
        <w:rPr>
          <w:rFonts w:ascii="Times New Roman" w:hAnsi="Times New Roman"/>
          <w:sz w:val="20"/>
          <w:u w:val="single"/>
        </w:rPr>
        <w:t>Section 9.07</w:t>
      </w:r>
      <w:r>
        <w:rPr>
          <w:rFonts w:ascii="Times New Roman" w:hAnsi="Times New Roman"/>
          <w:sz w:val="20"/>
        </w:rPr>
        <w:t xml:space="preserve"> shall continue for the benefit of the retiring Trustee.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9.07</w:t>
      </w:r>
      <w:r>
        <w:rPr>
          <w:rFonts w:ascii="Times New Roman" w:hAnsi="Times New Roman"/>
          <w:sz w:val="20"/>
        </w:rPr>
        <w:t xml:space="preserve"> shall be applicable to the Collateral Agent, as if references to the “Trustee” were references to the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Successor Trustee by Merger, Etc</w:t>
      </w:r>
      <w:r>
        <w:rPr>
          <w:rFonts w:ascii="Times New Roman" w:hAnsi="Times New Roman"/>
          <w:sz w:val="20"/>
        </w:rPr>
        <w:t xml:space="preserve">. If the Trustee or any Agent consolidates, sells, merges or converts into, or transfers all or substantially all of its corporate trust business (including this transaction) to, another corporation, the successor corporation without any further act shall be the successor Trustee or any Agent,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Eligibility; Disqualification</w:t>
      </w:r>
      <w:r>
        <w:rPr>
          <w:rFonts w:ascii="Times New Roman" w:hAnsi="Times New Roman"/>
          <w:sz w:val="20"/>
        </w:rPr>
        <w:t xml:space="preserve">. There shall at all times be a Trustee hereunder that is a corporation organized and doing business under the laws of the United States or of any state thereof that is authorized under such laws to exercise corporate trust powers and that is subject to supervision or examination by federal or state authorities. Such Trustee (or its parent) together with its affiliates shall at all times have a combined capital surplus of at least $50.0 million as set forth in its most recent annual report of condition.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Appointment of 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when any of the Notes remain outstanding, the Trustee may appoint an Authenticating Agent or Agents with respect to the Notes which shall be authorized to act on behalf of the Trustee to authenticate the Notes and the Trustee shall give written notice of such appointment to all Holders of Notes, in the manner provided for in </w:t>
      </w:r>
      <w:r>
        <w:rPr>
          <w:rFonts w:ascii="Times New Roman" w:hAnsi="Times New Roman"/>
          <w:sz w:val="20"/>
          <w:u w:val="single"/>
        </w:rPr>
        <w:t>Section 13.02</w:t>
      </w:r>
      <w:r>
        <w:rPr>
          <w:rFonts w:ascii="Times New Roman" w:hAnsi="Times New Roman"/>
          <w:sz w:val="20"/>
        </w:rPr>
        <w:t xml:space="preserve">. Notes so authenticated shall be entitled to the benefits of this Indenture and shall be valid and obligatory for all purposes as if authenticated by the Trustee hereunder. Any such appointment shall be evidenced by an instrument in writing signed by the Trustee, and a copy of such instrument shall be promptly furnished to the Issuer.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Authenticating Agent shall be reasonably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at least $50.0 million and subject to supervision or examination by federal or state authority. If such corporation publishes or files reports of condition at least annually, pursuant to law or to the requirements of said supervising or examining authority, then for the purposes of this </w:t>
      </w:r>
      <w:r>
        <w:rPr>
          <w:rFonts w:ascii="Times New Roman" w:hAnsi="Times New Roman"/>
          <w:sz w:val="20"/>
          <w:u w:val="single"/>
        </w:rPr>
        <w:t>Section 9.10</w:t>
      </w:r>
      <w:r>
        <w:rPr>
          <w:rFonts w:ascii="Times New Roman" w:hAnsi="Times New Roman"/>
          <w:sz w:val="20"/>
        </w:rPr>
        <w:t xml:space="preserve">, the combined capital and surplus of such corporation shall be deemed to be its combined capital and surplus as set forth in its most recent report of condition so published or filed. If at any time an Authenticating Agent shall cease to be eligible in accordance with the provisions of this Section, it shall resign immediately in the manner and with the effect specified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(d) 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written notice of such appointment to all Holders of Notes, in the manner provided for in this Section 9.10.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9.10. </w:t>
      </w:r>
    </w:p>
    <w:p>
      <w:pPr>
        <w:pStyle w:val="TextBody"/>
        <w:bidi w:val="0"/>
        <w:spacing w:before="240" w:after="0"/>
        <w:jc w:val="left"/>
        <w:rPr>
          <w:rFonts w:ascii="Times New Roman" w:hAnsi="Times New Roman"/>
          <w:sz w:val="20"/>
        </w:rPr>
      </w:pPr>
      <w:r>
        <w:rPr>
          <w:rFonts w:ascii="Times New Roman" w:hAnsi="Times New Roman"/>
          <w:sz w:val="20"/>
        </w:rPr>
        <w:t xml:space="preserve">(e) The Issuer agrees to pay to each Authenticating Agent from time to time reasonable compensation for its services under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The Calculation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hereby appoints U.S. Bank as Calculation Agent in accordance with the terms of the Notes solely with respect to calculating the amount of interest to be paid with respect to the Notes, including determining the Alternate Base Rate and the Term SOFR, in the manner and at the times provided in the Notes and Indenture, and U.S. Bank hereby accepts such appointment. </w:t>
      </w:r>
    </w:p>
    <w:p>
      <w:pPr>
        <w:pStyle w:val="TextBody"/>
        <w:bidi w:val="0"/>
        <w:spacing w:before="240" w:after="0"/>
        <w:jc w:val="left"/>
        <w:rPr>
          <w:rFonts w:ascii="Times New Roman" w:hAnsi="Times New Roman"/>
          <w:sz w:val="20"/>
        </w:rPr>
      </w:pPr>
      <w:r>
        <w:rPr>
          <w:rFonts w:ascii="Times New Roman" w:hAnsi="Times New Roman"/>
          <w:sz w:val="20"/>
        </w:rPr>
        <w:t xml:space="preserve">(b) The Calculation Agent shall not be under any duty to succeed to, assume or otherwise perform any of the duties of the Issuer or its designee, or to appoint a successor or replacement designee in the event of its resignation or removal, or to remove and replace the Issuer’s designee in the event of a default, breach or failure of performance on the part of the designee with respect to its duties and obligations under the terms of this Indenture and the Notes. In the event that the Calculation Agent has determined (and notified the Issuer or its designee that), or has been notified that, the current designated benchmark is not or will not be available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Payment Determination Date, then unless the Calculation Agent is notified of a Benchmark Replacement in accordance with the provisions of the terms of this Indenture and the Notes at least one U.S. Government Securities Business Day prior to the applicable Interest Payment Date, the Calculation Agent shall use the interest rate in effect for the immediately prior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(c) In acting under this Indenture, the Calculation Agent (in its capacity as such) does not assume any obligation toward, or any relationship of agency or trust for or with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(d) The Calculation Agent shall have no liability for any interest rate published by any publication that is the source for determining the interest rates of the Notes, or for any rates published on any publicly available source, including without limitation the SOFR Administrator’s Website, or in any of the foregoing cases for any delay, error or inaccuracy in the publication of any such, or for any subsequent correction or adjustment thereto. </w:t>
      </w:r>
    </w:p>
    <w:p>
      <w:pPr>
        <w:pStyle w:val="TextBody"/>
        <w:bidi w:val="0"/>
        <w:spacing w:before="240" w:after="0"/>
        <w:jc w:val="left"/>
        <w:rPr>
          <w:rFonts w:ascii="Times New Roman" w:hAnsi="Times New Roman"/>
          <w:sz w:val="20"/>
        </w:rPr>
      </w:pPr>
      <w:r>
        <w:rPr>
          <w:rFonts w:ascii="Times New Roman" w:hAnsi="Times New Roman"/>
          <w:sz w:val="20"/>
        </w:rPr>
        <w:t xml:space="preserve">(e) If the Calculation Agent receives any certificate, statement, request, notice, advice, instruction, direction or other agreement or instrument from the Issuer or its designee, or any other party with respect to the performance of its duties hereunder which, in the Calculation Agent’s reasonable and good faith opinion, is in conflict with any of the provisions of this Indenture, or is advised that a dispute has arisen with respect to any part of this Indenture as between the Issuer and the holders of the Notes, the Calculation Agent may, without liability to any person, refrain from taking any action until such conflict or dispute is resolved to the satisfaction of the Calculation Agent. The Calculation Agent shall be under no duty to institute or defend any legal proceedings. The Calculation Agent, in its individual or in any other capacity, may become interested in any financial or other transaction with the Issuer as freely as if it were not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(f) The Calculation Agent may at any time resign as Calculation Agent by giving written notice to the Issuer of such intention on its part, specifying the date on which its desired resignation shall become effective; provided that such notice shall be given not less than 30 days prior to the said effective date unless the Issuer otherwise agrees in writing. The Calculation Agent may be removed by the Issuer giving notice in writing signed by the Issuer specifying such removal and the date when it shall become effective. Upon receipt of such notice of resignation or the giving of such notice of removal, the Issuer shall promptly appoint a successor Calculation Agent (which may be the Issuer, an affiliate or another person which is a bank, trust company, investment banking firm or other financial institution), which appointment shall take effect prior to the effective date of such resignation or removal. If no successor shall have been so appointed and have accepted appointment within 30 days after the giving of such notice of resignation or removal, the resignation of the Calculation Agent shall be automatically effective, and the Issuer shall be the Calculation Agent. Any successor Calculation Agent appointed hereunder shall execute and deliver to its predecessor and the Issuer an instrument accepting such appointment hereunder, and thereupon such successor Calculation Agent, without any further act, deed or conveyance, shall become vested with all the authority, rights, powers, immunities, duties and obligations of such predecessor with like effect as if originally named as the Calculation Agent hereunder, and such predecessor shall thereupon become obliged to transfer and deliver, and such successor Calculation Agent shall be entitled to receive, copies of any relevant records maintained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such predecessor Calculation Agent. Any business entity into which the Calculation Agent may be merged or converted or consolidated or any business entity resulting from any merger, conversion or consolidation to which the Calculation Agent shall be a party, or any corporation to which the Calculation Agent shall sell or otherwise transfer all or substantially all the corporate trust assets and business of the Calculation Agent, shall, to the extent permitted by applicable law, be the successor Calculation Agent under this Indenture without the execution or filing of any paper or any further act on the part of any of the parties hereto. Notice of any such merger, conversion or consolidation shall forthwith be given to the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The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and the Guarantors hereby appoint U.S. Bank to act as Collateral Agent, and each Holder, by its acceptance of any Notes and the Guarantees thereof, irrevocably consents and agrees to such appointment. The Collateral Agent shall have the privileges, powers, indemnities and immunities as set forth in this Indenture and the Security Documents. Notwithstanding any provision to the contrary contained elsewhere in this Indenture or the Security Documents, the duties of the Collateral Agent shall be ministerial and administrative in nature, and the Collateral Agent shall not have any duties or responsibilities, except those expressly set forth herein and in the Security Documents to which the Collateral Agent is a party, nor shall the Collateral Agent have or be deemed to have any trust or other fiduciary relationship with the Trustee, any Holder, the Issuer or any Guarantor, and no implied covenants, functions, responsibilities, duties, obligations or liabilities shall be read into this Indenture or the Security Documents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From and after the Restatement Effective Date, the due and punctual payment of the principal of, premium, if any, and interest on the Notes and the Guarantees thereof when and as the same shall be due and payable, whether on an Interest Payment Date, at maturity, by acceleration, repurchase, redemption or otherwise, interest on the overdue principal of and interest (to the extent permitted by law), if any, on the Notes and the Guarantees thereof and performance of all other obligations under this Indenture, including, without limitation, the obligations of the Issuer set forth in </w:t>
      </w:r>
      <w:r>
        <w:rPr>
          <w:rFonts w:ascii="Times New Roman" w:hAnsi="Times New Roman"/>
          <w:sz w:val="20"/>
          <w:u w:val="single"/>
        </w:rPr>
        <w:t>Section 9.06</w:t>
      </w:r>
      <w:r>
        <w:rPr>
          <w:rFonts w:ascii="Times New Roman" w:hAnsi="Times New Roman"/>
          <w:sz w:val="20"/>
        </w:rPr>
        <w:t xml:space="preserve"> and </w:t>
      </w:r>
      <w:r>
        <w:rPr>
          <w:rFonts w:ascii="Times New Roman" w:hAnsi="Times New Roman"/>
          <w:sz w:val="20"/>
          <w:u w:val="single"/>
        </w:rPr>
        <w:t>Section 11.05</w:t>
      </w:r>
      <w:r>
        <w:rPr>
          <w:rFonts w:ascii="Times New Roman" w:hAnsi="Times New Roman"/>
          <w:sz w:val="20"/>
        </w:rPr>
        <w:t xml:space="preserve"> herein, and the Notes and the Guarantees thereof and the Security Documents, shall be secured by (i) first-priority Liens and security interests on the Notes Priority Collateral and (ii) second-priority Liens and security interests on the ABL Priority Collateral (in each case subject to Permitted Liens), as and to the extent provided in the Security Documents, including the Security Agreement substantially in the form attached as </w:t>
      </w:r>
      <w:r>
        <w:rPr>
          <w:rFonts w:ascii="Times New Roman" w:hAnsi="Times New Roman"/>
          <w:sz w:val="20"/>
          <w:u w:val="single"/>
        </w:rPr>
        <w:t>Exhibit G</w:t>
      </w:r>
      <w:r>
        <w:rPr>
          <w:rFonts w:ascii="Times New Roman" w:hAnsi="Times New Roman"/>
          <w:sz w:val="20"/>
        </w:rPr>
        <w:t xml:space="preserve"> hereto and the ABL/Note Intercreditor Agreement substantially in the form attached as </w:t>
      </w:r>
      <w:r>
        <w:rPr>
          <w:rFonts w:ascii="Times New Roman" w:hAnsi="Times New Roman"/>
          <w:sz w:val="20"/>
          <w:u w:val="single"/>
        </w:rPr>
        <w:t>Exhibit H</w:t>
      </w:r>
      <w:r>
        <w:rPr>
          <w:rFonts w:ascii="Times New Roman" w:hAnsi="Times New Roman"/>
          <w:sz w:val="20"/>
        </w:rPr>
        <w:t xml:space="preserve"> hereto, and shall be further secured pursuant to the Security Documents hereafter delivered as required or permitted by this Indenture and the Security Documents. The Collateral will also secure the Issuer’s and the Guarantors’ Obligations under the ABL Credit Agreement and any Permitted Additional Debt that is secured on a basis </w:t>
      </w:r>
      <w:r>
        <w:rPr>
          <w:rFonts w:ascii="Times New Roman" w:hAnsi="Times New Roman"/>
          <w:i/>
          <w:sz w:val="20"/>
        </w:rPr>
        <w:t>pari passu</w:t>
      </w:r>
      <w:r>
        <w:rPr>
          <w:rFonts w:ascii="Times New Roman" w:hAnsi="Times New Roman"/>
          <w:sz w:val="20"/>
        </w:rPr>
        <w:t xml:space="preserve"> with the Obligations as provided in the Intercreditor Agreements. The Issuer and the Guarantors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 that the Collateral Agent shall hold the Collateral on behalf of and for the benefit of all of the Holders, the Trustee and the Collateral Agent, in each case pursuant to the terms of the Security Documents, and the Collateral Agent and the Trustee are hereby directed and authorized by the Holders to execute and deliver the Security Agreement, including the exhibits thereto, the Intercreditor Agreement and the other Security Documents to which they are a party. </w:t>
      </w:r>
    </w:p>
    <w:p>
      <w:pPr>
        <w:pStyle w:val="TextBody"/>
        <w:bidi w:val="0"/>
        <w:spacing w:before="240" w:after="0"/>
        <w:jc w:val="left"/>
        <w:rPr>
          <w:rFonts w:ascii="Times New Roman" w:hAnsi="Times New Roman"/>
          <w:sz w:val="20"/>
        </w:rPr>
      </w:pPr>
      <w:r>
        <w:rPr>
          <w:rFonts w:ascii="Times New Roman" w:hAnsi="Times New Roman"/>
          <w:sz w:val="20"/>
        </w:rPr>
        <w:t xml:space="preserve">(b) Each Holder, by its acceptance of any Notes and the Guarantees thereof, irrevocably consents and agrees to the terms of the Security Documents (including, without limitation, the provisions providing for foreclosure and release of Collateral) as the same may be in effect or may be amended from time to time in accordance with their terms, agrees to the appointment of the Collateral Agent and authorizes and directs the Collateral Agent (i) to enter into the Security Documents to which it is a party (including, without limitation, the ABL/Note Intercreditor Agreement), whether executed on or after the Closing Date, and perform its obligations and exercise its rights, powers and discretions under the Security Documents in accordance therewith, (ii) make the representations of the Holders set forth in the Security Documents (including, without limitation, the ABL/Note Intercreditor Agreement), and (iii) bind the Holders on the terms as set forth in the Security Documents (including, without limitation, the ABL/Note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Trustee, the Collateral Agent and each Holder, by accepting the Notes and the Guarantees thereof acknowledges that, as more fully set forth in the Security Documents, the Collateral as now or hereafter constituted shall be held for the benefit of all the Holders, the Collateral Agent and the Trustee, and that the Lien of this Indenture and the Security Documents in respect of the Trustee, the Collateral Agent and the Holders is subject to and qualified and limited in all respects by the Security Documents and actions that may be taken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Maintenance of Collateral; Further Assurances</w:t>
      </w:r>
      <w:r>
        <w:rPr>
          <w:rFonts w:ascii="Times New Roman" w:hAnsi="Times New Roman"/>
          <w:sz w:val="20"/>
        </w:rPr>
        <w:t xml:space="preserve">. The Issuer and the Guarantors shall maintain the Collateral that is material to the conduct of their respective businesses in good, safe and insurable operating order, condition and repair (ordinary wear and tear excepted). The Issuer and the Guarantors shall pay all real estate and other taxes (except such as are contested in good faith and by appropriate negotiations or proceedings), and maintain in full force and effect all material permits and insurance in amounts that insures against such losses and risks as are reasonable for the type and size of the business of the Issuer and the Guarantors, except, in each case, where the failure to effect such payment or maintain such permits or insurance coverages is not adverse in any material respect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Release of Liens on the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Liens on the Collateral securing the Notes will automatically and without the need for any further action by any Person be released: </w:t>
      </w:r>
    </w:p>
    <w:p>
      <w:pPr>
        <w:pStyle w:val="TextBody"/>
        <w:bidi w:val="0"/>
        <w:spacing w:before="240" w:after="0"/>
        <w:jc w:val="left"/>
        <w:rPr>
          <w:rFonts w:ascii="Times New Roman" w:hAnsi="Times New Roman"/>
          <w:sz w:val="20"/>
        </w:rPr>
      </w:pPr>
      <w:r>
        <w:rPr>
          <w:rFonts w:ascii="Times New Roman" w:hAnsi="Times New Roman"/>
          <w:sz w:val="20"/>
        </w:rPr>
        <w:t xml:space="preserve">(i) in whole , upon payment in full of the principal of, accrued and unpaid interest and premium, if any, on the Notes; </w:t>
      </w:r>
    </w:p>
    <w:p>
      <w:pPr>
        <w:pStyle w:val="TextBody"/>
        <w:bidi w:val="0"/>
        <w:spacing w:before="240" w:after="0"/>
        <w:jc w:val="left"/>
        <w:rPr>
          <w:rFonts w:ascii="Times New Roman" w:hAnsi="Times New Roman"/>
          <w:sz w:val="20"/>
        </w:rPr>
      </w:pPr>
      <w:r>
        <w:rPr>
          <w:rFonts w:ascii="Times New Roman" w:hAnsi="Times New Roman"/>
          <w:sz w:val="20"/>
        </w:rPr>
        <w:t xml:space="preserve">(ii) in whole upon: </w:t>
      </w:r>
    </w:p>
    <w:p>
      <w:pPr>
        <w:pStyle w:val="TextBody"/>
        <w:bidi w:val="0"/>
        <w:spacing w:before="120" w:after="0"/>
        <w:jc w:val="left"/>
        <w:rPr>
          <w:rFonts w:ascii="Times New Roman" w:hAnsi="Times New Roman"/>
          <w:sz w:val="20"/>
        </w:rPr>
      </w:pPr>
      <w:r>
        <w:rPr>
          <w:rFonts w:ascii="Times New Roman" w:hAnsi="Times New Roman"/>
          <w:sz w:val="20"/>
        </w:rPr>
        <w:t xml:space="preserve">(A) a Legal Defeasance or Covenant Defeasance as set forth in </w:t>
      </w:r>
      <w:r>
        <w:rPr>
          <w:rFonts w:ascii="Times New Roman" w:hAnsi="Times New Roman"/>
          <w:sz w:val="20"/>
          <w:u w:val="single"/>
        </w:rPr>
        <w:t>Article XI</w:t>
      </w:r>
      <w:r>
        <w:rPr>
          <w:rFonts w:ascii="Times New Roman" w:hAnsi="Times New Roman"/>
          <w:sz w:val="20"/>
        </w:rPr>
        <w:t xml:space="preserve"> 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satisfaction and discharge of this Indenture as set forth in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in part, as to any property constituting Collateral that (a) is sold, transferred or otherwise disposed of by the Issuer or any Guarantor (other than to the Issuer or another Guarantor) in a transaction not prohibited by this Indenture or the Security Documents at the time of such sale, transfer or disposition or (b) is owned or at any time acquired by a Guarantor that has been released from its Guarantee in accordance with this Indenture, concurrently with the release of such Guarantee (including in connection with the designation of a Guarantor as an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(iv) in whole or in part, as applicable, in accordance with the provisions in </w:t>
      </w:r>
      <w:r>
        <w:rPr>
          <w:rFonts w:ascii="Times New Roman" w:hAnsi="Times New Roman"/>
          <w:sz w:val="20"/>
          <w:u w:val="single"/>
        </w:rPr>
        <w:t>Article 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in part, in accordance with the applicable provisions of the Security Documents and the Intercreditor Agreement; or </w:t>
      </w:r>
    </w:p>
    <w:p>
      <w:pPr>
        <w:pStyle w:val="TextBody"/>
        <w:bidi w:val="0"/>
        <w:spacing w:before="240" w:after="0"/>
        <w:jc w:val="left"/>
        <w:rPr>
          <w:rFonts w:ascii="Times New Roman" w:hAnsi="Times New Roman"/>
          <w:sz w:val="20"/>
        </w:rPr>
      </w:pPr>
      <w:r>
        <w:rPr>
          <w:rFonts w:ascii="Times New Roman" w:hAnsi="Times New Roman"/>
          <w:sz w:val="20"/>
        </w:rPr>
        <w:t xml:space="preserve">(vi) in whole or in part, as applicable, as to all or any part of the Collateral that has been taken by eminent domain, condemnation or other similar circumstances,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in the case of any release in whole pursuant to clauses (i), (ii) and (iv) above, all amounts owing to the Trustee and the Collateral Agent under this Indenture, the Notes, the Guarantees, the Security Documents and the Intercreditor Agreement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a proposed release of Collateral is not automatic and requires action by the Trustee or the Collateral Agent, the Issuer and each Guarantor will furnish to the Trustee and the Collateral Agent, prior to each proposed release of such Collateral pursuant to the Security Documents and this Indenture, an Officer’s Certificate and an Opinion of Counsel that all conditions precedent provided for in this Indenture and the Security Documents relating to such release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(c) Upon compliance by the Issuer or the Guarantors, as the case may be, with the conditions precedent set forth above, the Trustee or the Collateral Agent shall promptly cause to be released and reconveyed (at the expense of the Issuer or the Guarantors) to the Issuer or the Guarantors, as the case may be, the released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Authorization of Actions to be Taken by the Trustee or the Collateral Agent Under the 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the Security Documents, each of the Trustee or the Collateral Agent may (but shall not be obligated to), in its sole discretion and without the consent of the Holders, on behalf of the Holders, take all actions it deems necessary or appropriate in order to (i) enforce any of its rights or any of the rights of the Holders under the Security Documents and (ii) collect and receive any and all amounts payable in respect of the Collateral in respect of the obligations of the Issuer and the Guarantors hereunder and thereunder. Subject to the provisions of the Security Documents, the Trustee or the Collateral Agent shall have the power to institute and to maintain such suits and proceedings as it may deem expedient to prevent any impairment of the Collateral by any acts that may be unlawful or in violation of the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or this Indenture, and such suits and proceedings as the Trustee or the Collateral Agent may deem expedient to preserve or protect its interest and the interests of the Holders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set forth in </w:t>
      </w:r>
      <w:r>
        <w:rPr>
          <w:rFonts w:ascii="Times New Roman" w:hAnsi="Times New Roman"/>
          <w:sz w:val="20"/>
          <w:u w:val="single"/>
        </w:rPr>
        <w:t>Section 4.4</w:t>
      </w:r>
      <w:r>
        <w:rPr>
          <w:rFonts w:ascii="Times New Roman" w:hAnsi="Times New Roman"/>
          <w:sz w:val="20"/>
        </w:rPr>
        <w:t xml:space="preserve"> of the Security Agreement, neither the Trustee nor the Collateral Agent shall be responsible for, nor do they make any representation regarding, the existence, genuineness or value of any of the Collateral or for the validity, perfection, priority or enforceability of the Liens in any of the Collateral, whether impaired by operation of law or by reason of any action or omission to act on its part hereunder, for the validity or sufficiency of the Collateral or any agreement or assignment contained therein, for the validity of the title of the Issuer to the Collateral, for insuring the Collateral or for the payment of taxes, charges, assessments or Liens upon the Collateral or otherwise as to the maintenance of the Collateral. Neither the Trustee nor the Collateral Agent shall have any responsibility for recording, filing, re-recording or re-filing any financing statement, continuation statement, document, instrument or other notice in any public office at any time or times or to otherwise take any action to perfect or maintain the perfection of any security interest granted to it under the Security Documents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Where any provision of this Indenture requires that additional property or assets be added to the Collateral and a security interest with respect to such property or assets would not be created or perfected without preparation and execution of additional documentation, the Issuer and each Guarantor shall deliver to the Trustee or the Collateral Agent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a request from the Issuer that such Collateral be added; </w:t>
      </w:r>
    </w:p>
    <w:p>
      <w:pPr>
        <w:pStyle w:val="TextBody"/>
        <w:bidi w:val="0"/>
        <w:spacing w:before="240" w:after="0"/>
        <w:jc w:val="left"/>
        <w:rPr>
          <w:rFonts w:ascii="Times New Roman" w:hAnsi="Times New Roman"/>
          <w:sz w:val="20"/>
        </w:rPr>
      </w:pPr>
      <w:r>
        <w:rPr>
          <w:rFonts w:ascii="Times New Roman" w:hAnsi="Times New Roman"/>
          <w:sz w:val="20"/>
        </w:rPr>
        <w:t xml:space="preserve">(ii) the form of instrument adding such Collateral, which, based on the type and location of the property subject thereto, shall be in substantially the form of the applicable Security Documents entered into on the Closing Date, with such changes thereto as the Issuer shall consider appropriate, or in such other form as the Issuer shall deem proper; </w:t>
      </w:r>
      <w:r>
        <w:rPr>
          <w:rFonts w:ascii="Times New Roman" w:hAnsi="Times New Roman"/>
          <w:i/>
          <w:sz w:val="20"/>
        </w:rPr>
        <w:t xml:space="preserve">provided </w:t>
      </w:r>
      <w:r>
        <w:rPr>
          <w:rFonts w:ascii="Times New Roman" w:hAnsi="Times New Roman"/>
          <w:sz w:val="20"/>
        </w:rPr>
        <w:t xml:space="preserve">that any such changes or such form are administratively satisfactory to the Trustee and the Collateral Agent; and </w:t>
      </w:r>
    </w:p>
    <w:p>
      <w:pPr>
        <w:pStyle w:val="TextBody"/>
        <w:bidi w:val="0"/>
        <w:spacing w:before="240" w:after="0"/>
        <w:jc w:val="left"/>
        <w:rPr>
          <w:rFonts w:ascii="Times New Roman" w:hAnsi="Times New Roman"/>
          <w:sz w:val="20"/>
        </w:rPr>
      </w:pPr>
      <w:r>
        <w:rPr>
          <w:rFonts w:ascii="Times New Roman" w:hAnsi="Times New Roman"/>
          <w:sz w:val="20"/>
        </w:rPr>
        <w:t xml:space="preserve">(iii) such financing statements, if any, as the Issuer shall deem necessary to perfect the Collateral Agent’s security interest in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(d) The Trustee and the Collateral Agent, in giving any consent or approval under the Security Documents or in executing any Security Documents or any Intercreditor Agreement (other than any Intercreditor Agreement executed on the Closing Date), shall be entitled to receive, as a condition to such consent or approval or to executing such document in the case of a request to execute a Security Document or an Intercreditor Agreement, a request of the Issuer and, in all cases, an Officer’s Certificate and an Opinion of Counsel to the effect that all conditions precedent specified in this Indenture with respect to the action or omission for which consent or approval is to be given have been satisfied or that such action or omission for which consent or approval is not being given does not violate this Indenture, and the Trustee and the Collateral Agent shall be fully protected in giving such consent or approval on the basis of such certificate and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anything else to the contrary herein, whenever reference is made in this Indenture or any Security Document to any discretionary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the Collateral Agent shall be fully justified in failing or refusing to take any such action under this Indenture if it shall not have received such written instruction, advice or concurrence of the requisite percentage of Holders or from the Trustee (acting at the direction of the requisite percentage of Holders and otherwise in accordance with this Indenture, Intercreditor Agreements and other Security Documents), and such indemnity from the Holders as it deems appropriate. This provision is intended solely for the benefit of the Collateral Agent and its successors and permitted assigns and is not intended to and will not entitle the other parties hereto to any defense, claim or counterclaim, or confer any rights or benefits on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Notes Collateral Account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is authorized to receive any funds for the benefit of the Holders distributed under, and in accordance with, the Security Documents, and to make further distributions of such funds to the Holders according to the provisions of this Indenture, the Security Documents and the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Issuer shall establish upon the first Asset Sale of Notes Priority Collateral, with the Collateral Agent the Notes Collateral Account, which shall at all times hereafter until this Indenture shall have terminated, be maintained with, and under the control of, the Collateral Agent. The Net Cash Proceeds from any Asset Sale of Notes Priority Collateral shall be deposited in such Notes Collateral Account pending distribution in accordance with </w:t>
      </w:r>
      <w:r>
        <w:rPr>
          <w:rFonts w:ascii="Times New Roman" w:hAnsi="Times New Roman"/>
          <w:sz w:val="20"/>
          <w:u w:val="single"/>
        </w:rPr>
        <w:t>Section 3.08(a)</w:t>
      </w:r>
      <w:r>
        <w:rPr>
          <w:rFonts w:ascii="Times New Roman" w:hAnsi="Times New Roman"/>
          <w:sz w:val="20"/>
        </w:rPr>
        <w:t xml:space="preserv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Information Regarding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shall furnish to the Collateral Agent, with respect to the Issuer or any Guarantor, promptly (and in any event within no more than thirty days of such change) written notice of any change in such Person’s (i) legal name, (ii) jurisdiction of organization or formation, (iii) identity or corporate structure or (iv) legal identification number. The Issuer and the Guarantors will take all necessary action so that the Lien in favor of the Collateral Agent pursuant to this Indenture and/or the Security Documents is perfected with the same priority as immediately prior to such change to the extent required by this Indenture and/or the Security Documents. The Issuer shall also promptly notify the Collateral Agent if any material portion of the Collateral is damaged, destroyed or condemned.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year, within 120 days after the end of the preceding fiscal year, the Issuer shall deliver to each of the Trustee and the Collateral Agent a certificate of a Financial Officer of the Issuer setting forth the information required pursuant to the schedules required by this Indenture and/or the Security Documents or confirming that there has been no change in such information since the date of the prior annual certification.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Regarding the 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Collateral Agent is authorized and empowered to appoint one or more subagents or co-collateral agents as it deems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set forth in Section 4.4 of the Security Agreement, neither the Trustee nor the Collateral Agent shall have any obligation whatsoever to the Trustee or any of the Holders to assure that the Collateral exists or is owned by any Note Party or is cared for, protected, or insured or has been encumbered, or that the Collateral Agent’s Liens have been properly or sufficiently or lawfully created, perfected, protected, maintained or enforced or are entitled to any particular priority, or to determine whether all of the Issuer’s or any Guarantor’s property constituting collateral intended to be subject to the Lien and security interest of the Security Documents has been properly and completely listed or delivered, as the case maybe,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or any Security Document other than pursuant to the instructions of the Trustee or the Holders of a majority in aggregate principal amount of the Notes or as otherwise provided in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Indenture or the Security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clause if it no longer reasonably deems any indemnity, security or undertaking from the Issuer or the Holders to be sufficient. </w:t>
      </w:r>
    </w:p>
    <w:p>
      <w:pPr>
        <w:pStyle w:val="TextBody"/>
        <w:bidi w:val="0"/>
        <w:spacing w:before="240" w:after="0"/>
        <w:jc w:val="left"/>
        <w:rPr>
          <w:rFonts w:ascii="Times New Roman" w:hAnsi="Times New Roman"/>
          <w:sz w:val="20"/>
        </w:rPr>
      </w:pPr>
      <w:r>
        <w:rPr>
          <w:rFonts w:ascii="Times New Roman" w:hAnsi="Times New Roman"/>
          <w:sz w:val="20"/>
        </w:rPr>
        <w:t xml:space="preserve">(d) The Collateral Agent shall not be liable for (i) any action taken or omitted to be taken by it in connection with this Indenture and the Security Documents or instrument referred to herein or therein, except to the extent that any of the foregoing are found by a final, non-appealable judgment of a court of competent jurisdiction to have resulted from its own gross negligence or willful misconduct, and (ii) interest on any money received by it except as the Collateral Agent may agree in writing with the Issuer (and money held in trust by the Collateral Agent shall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(e) The Collateral Agent shall exercise reasonable care in the custody of any Collateral in its possession or control or in the possession or control of any agent or bailee or any income thereon. The Collateral Agent shall be deemed to have exercised reasonable care in the custody of Collateral in its possession if the Collateral is accorded treatment substantially equal to that which it accords similar property held for its own benefit and shall not be liable or responsible for any loss or diminution in value of any of the Collateral, including, without limitation, by reason of the act or omission of any carrier, forwarding agency or other agent or bailee selected by the Collateral Agent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Security Documents or any actions taken pursuant hereto or thereto. Further, the parties hereto and the Holders hereby agree and acknowledge that in the exercise of its rights under this Indenture and the Security Documents, the Collateral Agent or the Trustee may hold or obtain indicia of ownership primarily to protect the security interest of the Collateral Agent or the Trustee in the Collateral and that any such actions taken by the Collateral Agent or the Trustee shall not be construed as or otherwise constitute any participation in the management of such Collateral. In the event that the Collateral Agent or the Trustee is required to acquire title to an asset for any reason, or take any managerial action of any kind in regard thereto, which in the Collateral Agent’s or the Trustee’s sole discretion may cause the Collateral Agent or the Trustee to be considered an “owner or operator” under the provisions of the Comprehensive Environmental Response, Compensation and Liability Act (“</w:t>
      </w:r>
      <w:r>
        <w:rPr>
          <w:rFonts w:ascii="Times New Roman" w:hAnsi="Times New Roman"/>
          <w:b/>
          <w:sz w:val="20"/>
        </w:rPr>
        <w:t>CERCLA</w:t>
      </w:r>
      <w:r>
        <w:rPr>
          <w:rFonts w:ascii="Times New Roman" w:hAnsi="Times New Roman"/>
          <w:sz w:val="20"/>
        </w:rPr>
        <w:t xml:space="preserve">”), 42 U.S.C. §9601, et seq., or otherwise cause the Collateral Agent or the Trustee to incur liability under CERCLA or any other federal, state or local law, the Collateral Agent and the Trustee reserves the right, instead of taking such action, to either resign as the Collateral Agent or the Trustee or arrange for the transfer of the title or control of the asset to a court-appointed receiver. Neither the Collateral Agent nor the Trustee shall be liable to the Issuer, the Guarantors or any other Person for any environmental claims or contribution actions under any federal, state or local law, rule or regulation by reason of the Collateral Agent’s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Collateral Agent or the Trustee) other than the Issuer or the Guarantors, subject to the terms of the Security Documents, a majority in interest of Holders shall direct the Collateral Agent or the Trustee to appoint an appropriately qualified Person (excluding the Collateral Agent or the Trustee) whom it shall designate to possess, own, operate or manage, as the case may be, such property. </w:t>
      </w:r>
    </w:p>
    <w:p>
      <w:pPr>
        <w:pStyle w:val="TextBody"/>
        <w:bidi w:val="0"/>
        <w:spacing w:before="240" w:after="0"/>
        <w:jc w:val="left"/>
        <w:rPr>
          <w:rFonts w:ascii="Times New Roman" w:hAnsi="Times New Roman"/>
          <w:sz w:val="20"/>
        </w:rPr>
      </w:pPr>
      <w:r>
        <w:rPr>
          <w:rFonts w:ascii="Times New Roman" w:hAnsi="Times New Roman"/>
          <w:sz w:val="20"/>
        </w:rPr>
        <w:t xml:space="preserve">(g) For the avoidance of doubt, the rights, privileges, protections, immunities and benefits given to the Collateral Agent hereunder, including, without limitation, its right to be indemnified prior to taking action, shall survive the satisfaction, discharge or termination of this Indenture or earlier termination, resignation or removal of the Collateral Agent or the Trustee, in such capacity, with respect to the holders of the ABL Priority Collateral , as applicable, to the extent the Security Documents remain in force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DEFEASANCE;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Option to Effect Legal Defeasance or Covenant Defeasance</w:t>
      </w:r>
      <w:r>
        <w:rPr>
          <w:rFonts w:ascii="Times New Roman" w:hAnsi="Times New Roman"/>
          <w:sz w:val="20"/>
        </w:rPr>
        <w:t>. The Issuer may, by delivery of an Officer’s Certificate, at any time, elect to have either Section</w:t>
      </w:r>
      <w:r>
        <w:rPr>
          <w:rFonts w:ascii="Times New Roman" w:hAnsi="Times New Roman"/>
          <w:sz w:val="20"/>
          <w:u w:val="single"/>
        </w:rPr>
        <w:t> 11.02</w:t>
      </w:r>
      <w:r>
        <w:rPr>
          <w:rFonts w:ascii="Times New Roman" w:hAnsi="Times New Roman"/>
          <w:sz w:val="20"/>
        </w:rPr>
        <w:t xml:space="preserve"> or Section</w:t>
      </w:r>
      <w:r>
        <w:rPr>
          <w:rFonts w:ascii="Times New Roman" w:hAnsi="Times New Roman"/>
          <w:sz w:val="20"/>
          <w:u w:val="single"/>
        </w:rPr>
        <w:t> 11.03</w:t>
      </w:r>
      <w:r>
        <w:rPr>
          <w:rFonts w:ascii="Times New Roman" w:hAnsi="Times New Roman"/>
          <w:sz w:val="20"/>
        </w:rPr>
        <w:t xml:space="preserve"> applied to all outstanding Notes upon compliance with the conditions set forth below in this </w:t>
      </w:r>
      <w:r>
        <w:rPr>
          <w:rFonts w:ascii="Times New Roman" w:hAnsi="Times New Roman"/>
          <w:sz w:val="20"/>
          <w:u w:val="single"/>
        </w:rPr>
        <w:t>Article 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Legal Defeasance</w:t>
      </w:r>
      <w:r>
        <w:rPr>
          <w:rFonts w:ascii="Times New Roman" w:hAnsi="Times New Roman"/>
          <w:sz w:val="20"/>
        </w:rPr>
        <w:t xml:space="preserve">. Upon the Issuer’s exercise under </w:t>
      </w:r>
      <w:r>
        <w:rPr>
          <w:rFonts w:ascii="Times New Roman" w:hAnsi="Times New Roman"/>
          <w:sz w:val="20"/>
          <w:u w:val="single"/>
        </w:rPr>
        <w:t>Section 11.01</w:t>
      </w:r>
      <w:r>
        <w:rPr>
          <w:rFonts w:ascii="Times New Roman" w:hAnsi="Times New Roman"/>
          <w:sz w:val="20"/>
        </w:rPr>
        <w:t xml:space="preserve"> of the option applicable to this </w:t>
      </w:r>
      <w:r>
        <w:rPr>
          <w:rFonts w:ascii="Times New Roman" w:hAnsi="Times New Roman"/>
          <w:sz w:val="20"/>
          <w:u w:val="single"/>
        </w:rPr>
        <w:t>Section 11.02</w:t>
      </w:r>
      <w:r>
        <w:rPr>
          <w:rFonts w:ascii="Times New Roman" w:hAnsi="Times New Roman"/>
          <w:sz w:val="20"/>
        </w:rPr>
        <w:t xml:space="preserve">, the Issuer shall, subject to the satisfaction of the conditions set forth in </w:t>
      </w:r>
      <w:r>
        <w:rPr>
          <w:rFonts w:ascii="Times New Roman" w:hAnsi="Times New Roman"/>
          <w:sz w:val="20"/>
          <w:u w:val="single"/>
        </w:rPr>
        <w:t>Section 11.04</w:t>
      </w:r>
      <w:r>
        <w:rPr>
          <w:rFonts w:ascii="Times New Roman" w:hAnsi="Times New Roman"/>
          <w:sz w:val="20"/>
        </w:rPr>
        <w:t>, be deemed to have been discharged from its obligations with respect to all outstanding Notes on the date the conditions set forth below are satisfied (hereinafter, “</w:t>
      </w:r>
      <w:r>
        <w:rPr>
          <w:rFonts w:ascii="Times New Roman" w:hAnsi="Times New Roman"/>
          <w:b/>
          <w:sz w:val="20"/>
        </w:rPr>
        <w:t>Legal Defeasance</w:t>
      </w:r>
      <w:r>
        <w:rPr>
          <w:rFonts w:ascii="Times New Roman" w:hAnsi="Times New Roman"/>
          <w:sz w:val="20"/>
        </w:rPr>
        <w:t xml:space="preserve">”). For this purpose, Legal Defeasance means that the Issuer and the Guarantors shall be deemed to have paid and discharged the entire Obligations represented by the Notes and the Guarantees, which shall thereafter be deemed to be outstanding only for the purposes of </w:t>
      </w:r>
      <w:r>
        <w:rPr>
          <w:rFonts w:ascii="Times New Roman" w:hAnsi="Times New Roman"/>
          <w:sz w:val="20"/>
          <w:u w:val="single"/>
        </w:rPr>
        <w:t>Section 11.05</w:t>
      </w:r>
      <w:r>
        <w:rPr>
          <w:rFonts w:ascii="Times New Roman" w:hAnsi="Times New Roman"/>
          <w:sz w:val="20"/>
        </w:rPr>
        <w:t xml:space="preserve"> and the other Sections of this Indenture referred to in clauses (a) and (b) below, and to have satisfied all of its other Obligations under such Notes, Guarantees and this Indenture (and the Trustee, on written demand of and at the expense of the Issuer, shall execute instruments acknowledging the same), and this Indenture shall cease to be of further effect as to all such Notes and Guarantees, except for the following provisions which shall survive until otherwise terminated or discharged hereunder: (a) the rights of Holders of outstanding Notes to receive payments in respect of the principal of, and interest and premium, if any, on such Notes when such payments are due from the trust funds referred to in </w:t>
      </w:r>
      <w:r>
        <w:rPr>
          <w:rFonts w:ascii="Times New Roman" w:hAnsi="Times New Roman"/>
          <w:sz w:val="20"/>
          <w:u w:val="single"/>
        </w:rPr>
        <w:t>Section 11.04(b)(i)</w:t>
      </w:r>
      <w:r>
        <w:rPr>
          <w:rFonts w:ascii="Times New Roman" w:hAnsi="Times New Roman"/>
          <w:sz w:val="20"/>
        </w:rPr>
        <w:t xml:space="preserve"> (but not a Change of Control Offer or the payment pursuant to an Asset Sale or Debt Issuance); (b) the Issuer’s obligations with respect to such Notes under </w:t>
      </w:r>
      <w:r>
        <w:rPr>
          <w:rFonts w:ascii="Times New Roman" w:hAnsi="Times New Roman"/>
          <w:sz w:val="20"/>
          <w:u w:val="single"/>
        </w:rPr>
        <w:t>Section 2.02</w:t>
      </w:r>
      <w:r>
        <w:rPr>
          <w:rFonts w:ascii="Times New Roman" w:hAnsi="Times New Roman"/>
          <w:sz w:val="20"/>
        </w:rPr>
        <w:t xml:space="preserve">, </w:t>
      </w:r>
      <w:r>
        <w:rPr>
          <w:rFonts w:ascii="Times New Roman" w:hAnsi="Times New Roman"/>
          <w:sz w:val="20"/>
          <w:u w:val="single"/>
        </w:rPr>
        <w:t>Section 2.03</w:t>
      </w:r>
      <w:r>
        <w:rPr>
          <w:rFonts w:ascii="Times New Roman" w:hAnsi="Times New Roman"/>
          <w:sz w:val="20"/>
        </w:rPr>
        <w:t xml:space="preserve">, </w:t>
      </w:r>
      <w:r>
        <w:rPr>
          <w:rFonts w:ascii="Times New Roman" w:hAnsi="Times New Roman"/>
          <w:sz w:val="20"/>
          <w:u w:val="single"/>
        </w:rPr>
        <w:t>Section 2.04</w:t>
      </w:r>
      <w:r>
        <w:rPr>
          <w:rFonts w:ascii="Times New Roman" w:hAnsi="Times New Roman"/>
          <w:sz w:val="20"/>
        </w:rPr>
        <w:t xml:space="preserve">, </w:t>
      </w:r>
      <w:r>
        <w:rPr>
          <w:rFonts w:ascii="Times New Roman" w:hAnsi="Times New Roman"/>
          <w:sz w:val="20"/>
          <w:u w:val="single"/>
        </w:rPr>
        <w:t>Section 2.08</w:t>
      </w:r>
      <w:r>
        <w:rPr>
          <w:rFonts w:ascii="Times New Roman" w:hAnsi="Times New Roman"/>
          <w:sz w:val="20"/>
        </w:rPr>
        <w:t xml:space="preserve">, </w:t>
      </w:r>
      <w:r>
        <w:rPr>
          <w:rFonts w:ascii="Times New Roman" w:hAnsi="Times New Roman"/>
          <w:sz w:val="20"/>
          <w:u w:val="single"/>
        </w:rPr>
        <w:t>Section 2.11</w:t>
      </w:r>
      <w:r>
        <w:rPr>
          <w:rFonts w:ascii="Times New Roman" w:hAnsi="Times New Roman"/>
          <w:sz w:val="20"/>
        </w:rPr>
        <w:t xml:space="preserve">, and </w:t>
      </w:r>
      <w:r>
        <w:rPr>
          <w:rFonts w:ascii="Times New Roman" w:hAnsi="Times New Roman"/>
          <w:sz w:val="20"/>
          <w:u w:val="single"/>
        </w:rPr>
        <w:t>Section 5.02</w:t>
      </w:r>
      <w:r>
        <w:rPr>
          <w:rFonts w:ascii="Times New Roman" w:hAnsi="Times New Roman"/>
          <w:sz w:val="20"/>
        </w:rPr>
        <w:t xml:space="preserve">; (c) the rights, powers, trusts, duties and immunities of the Trustee, including without limitation thereunder, under </w:t>
      </w:r>
      <w:r>
        <w:rPr>
          <w:rFonts w:ascii="Times New Roman" w:hAnsi="Times New Roman"/>
          <w:sz w:val="20"/>
          <w:u w:val="single"/>
        </w:rPr>
        <w:t>Section 9.06</w:t>
      </w:r>
      <w:r>
        <w:rPr>
          <w:rFonts w:ascii="Times New Roman" w:hAnsi="Times New Roman"/>
          <w:sz w:val="20"/>
        </w:rPr>
        <w:t xml:space="preserve">, </w:t>
      </w:r>
      <w:r>
        <w:rPr>
          <w:rFonts w:ascii="Times New Roman" w:hAnsi="Times New Roman"/>
          <w:sz w:val="20"/>
          <w:u w:val="single"/>
        </w:rPr>
        <w:t>Section 11.05</w:t>
      </w:r>
      <w:r>
        <w:rPr>
          <w:rFonts w:ascii="Times New Roman" w:hAnsi="Times New Roman"/>
          <w:sz w:val="20"/>
        </w:rPr>
        <w:t xml:space="preserve"> and </w:t>
      </w:r>
      <w:r>
        <w:rPr>
          <w:rFonts w:ascii="Times New Roman" w:hAnsi="Times New Roman"/>
          <w:sz w:val="20"/>
          <w:u w:val="single"/>
        </w:rPr>
        <w:t>Section 11.07</w:t>
      </w:r>
      <w:r>
        <w:rPr>
          <w:rFonts w:ascii="Times New Roman" w:hAnsi="Times New Roman"/>
          <w:sz w:val="20"/>
        </w:rPr>
        <w:t xml:space="preserve"> and the obligations of the Issuer and the Guarantors in connection therewith; and (d) the provisions of this </w:t>
      </w:r>
      <w:r>
        <w:rPr>
          <w:rFonts w:ascii="Times New Roman" w:hAnsi="Times New Roman"/>
          <w:sz w:val="20"/>
          <w:u w:val="single"/>
        </w:rPr>
        <w:t>Article 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compliance with this </w:t>
      </w:r>
      <w:r>
        <w:rPr>
          <w:rFonts w:ascii="Times New Roman" w:hAnsi="Times New Roman"/>
          <w:sz w:val="20"/>
          <w:u w:val="single"/>
        </w:rPr>
        <w:t>Article XI</w:t>
      </w:r>
      <w:r>
        <w:rPr>
          <w:rFonts w:ascii="Times New Roman" w:hAnsi="Times New Roman"/>
          <w:sz w:val="20"/>
        </w:rPr>
        <w:t xml:space="preserve">, the Issuer may exercise its option under this </w:t>
      </w:r>
      <w:r>
        <w:rPr>
          <w:rFonts w:ascii="Times New Roman" w:hAnsi="Times New Roman"/>
          <w:sz w:val="20"/>
          <w:u w:val="single"/>
        </w:rPr>
        <w:t>Section 11.02</w:t>
      </w:r>
      <w:r>
        <w:rPr>
          <w:rFonts w:ascii="Times New Roman" w:hAnsi="Times New Roman"/>
          <w:sz w:val="20"/>
        </w:rPr>
        <w:t xml:space="preserve"> notwithstanding the prior exercise of its option under </w:t>
      </w:r>
      <w:r>
        <w:rPr>
          <w:rFonts w:ascii="Times New Roman" w:hAnsi="Times New Roman"/>
          <w:sz w:val="20"/>
          <w:u w:val="single"/>
        </w:rPr>
        <w:t>Section 11.03</w:t>
      </w:r>
      <w:r>
        <w:rPr>
          <w:rFonts w:ascii="Times New Roman" w:hAnsi="Times New Roman"/>
          <w:sz w:val="20"/>
        </w:rPr>
        <w:t xml:space="preserve">. If the Issuer exercises the Legal Defeasance option, the Liens on the Collateral will be released and the Guarantees in effect at such time will automatically be released.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Covenant Defeasance</w:t>
      </w:r>
      <w:r>
        <w:rPr>
          <w:rFonts w:ascii="Times New Roman" w:hAnsi="Times New Roman"/>
          <w:sz w:val="20"/>
        </w:rPr>
        <w:t xml:space="preserve">. Upon the Issuer’s exercise under </w:t>
      </w:r>
      <w:r>
        <w:rPr>
          <w:rFonts w:ascii="Times New Roman" w:hAnsi="Times New Roman"/>
          <w:sz w:val="20"/>
          <w:u w:val="single"/>
        </w:rPr>
        <w:t>Section 11.01</w:t>
      </w:r>
      <w:r>
        <w:rPr>
          <w:rFonts w:ascii="Times New Roman" w:hAnsi="Times New Roman"/>
          <w:sz w:val="20"/>
        </w:rPr>
        <w:t xml:space="preserve"> above of the option applicable to this </w:t>
      </w:r>
      <w:r>
        <w:rPr>
          <w:rFonts w:ascii="Times New Roman" w:hAnsi="Times New Roman"/>
          <w:sz w:val="20"/>
          <w:u w:val="single"/>
        </w:rPr>
        <w:t>Section 11.03</w:t>
      </w:r>
      <w:r>
        <w:rPr>
          <w:rFonts w:ascii="Times New Roman" w:hAnsi="Times New Roman"/>
          <w:sz w:val="20"/>
        </w:rPr>
        <w:t xml:space="preserve">, the Issuer shall, subject to the satisfaction of the conditions set forth in </w:t>
      </w:r>
      <w:r>
        <w:rPr>
          <w:rFonts w:ascii="Times New Roman" w:hAnsi="Times New Roman"/>
          <w:sz w:val="20"/>
          <w:u w:val="single"/>
        </w:rPr>
        <w:t>Section 11.04</w:t>
      </w:r>
      <w:r>
        <w:rPr>
          <w:rFonts w:ascii="Times New Roman" w:hAnsi="Times New Roman"/>
          <w:sz w:val="20"/>
        </w:rPr>
        <w:t xml:space="preserve"> below, be released from its obligations under </w:t>
      </w:r>
      <w:r>
        <w:rPr>
          <w:rFonts w:ascii="Times New Roman" w:hAnsi="Times New Roman"/>
          <w:sz w:val="20"/>
          <w:u w:val="single"/>
        </w:rPr>
        <w:t>Section 5.03</w:t>
      </w:r>
      <w:r>
        <w:rPr>
          <w:rFonts w:ascii="Times New Roman" w:hAnsi="Times New Roman"/>
          <w:sz w:val="20"/>
        </w:rPr>
        <w:t xml:space="preserve">, </w:t>
      </w:r>
      <w:r>
        <w:rPr>
          <w:rFonts w:ascii="Times New Roman" w:hAnsi="Times New Roman"/>
          <w:sz w:val="20"/>
          <w:u w:val="single"/>
        </w:rPr>
        <w:t>Section 5.04</w:t>
      </w:r>
      <w:r>
        <w:rPr>
          <w:rFonts w:ascii="Times New Roman" w:hAnsi="Times New Roman"/>
          <w:sz w:val="20"/>
        </w:rPr>
        <w:t xml:space="preserve">, </w:t>
      </w:r>
      <w:r>
        <w:rPr>
          <w:rFonts w:ascii="Times New Roman" w:hAnsi="Times New Roman"/>
          <w:sz w:val="20"/>
          <w:u w:val="single"/>
        </w:rPr>
        <w:t>Section 5.06</w:t>
      </w:r>
      <w:r>
        <w:rPr>
          <w:rFonts w:ascii="Times New Roman" w:hAnsi="Times New Roman"/>
          <w:sz w:val="20"/>
        </w:rPr>
        <w:t xml:space="preserve">, </w:t>
      </w:r>
      <w:r>
        <w:rPr>
          <w:rFonts w:ascii="Times New Roman" w:hAnsi="Times New Roman"/>
          <w:sz w:val="20"/>
          <w:u w:val="single"/>
        </w:rPr>
        <w:t>Section 5.07</w:t>
      </w:r>
      <w:r>
        <w:rPr>
          <w:rFonts w:ascii="Times New Roman" w:hAnsi="Times New Roman"/>
          <w:sz w:val="20"/>
        </w:rPr>
        <w:t xml:space="preserve">, </w:t>
      </w:r>
      <w:r>
        <w:rPr>
          <w:rFonts w:ascii="Times New Roman" w:hAnsi="Times New Roman"/>
          <w:sz w:val="20"/>
          <w:u w:val="single"/>
        </w:rPr>
        <w:t>Section 5.08</w:t>
      </w:r>
      <w:r>
        <w:rPr>
          <w:rFonts w:ascii="Times New Roman" w:hAnsi="Times New Roman"/>
          <w:sz w:val="20"/>
        </w:rPr>
        <w:t xml:space="preserve">, </w:t>
      </w:r>
      <w:r>
        <w:rPr>
          <w:rFonts w:ascii="Times New Roman" w:hAnsi="Times New Roman"/>
          <w:sz w:val="20"/>
          <w:u w:val="single"/>
        </w:rPr>
        <w:t>Section 5.09</w:t>
      </w:r>
      <w:r>
        <w:rPr>
          <w:rFonts w:ascii="Times New Roman" w:hAnsi="Times New Roman"/>
          <w:sz w:val="20"/>
        </w:rPr>
        <w:t xml:space="preserve">, </w:t>
      </w:r>
      <w:r>
        <w:rPr>
          <w:rFonts w:ascii="Times New Roman" w:hAnsi="Times New Roman"/>
          <w:sz w:val="20"/>
          <w:u w:val="single"/>
        </w:rPr>
        <w:t>Section 5.12</w:t>
      </w:r>
      <w:r>
        <w:rPr>
          <w:rFonts w:ascii="Times New Roman" w:hAnsi="Times New Roman"/>
          <w:sz w:val="20"/>
        </w:rPr>
        <w:t xml:space="preserve">, </w:t>
      </w:r>
      <w:r>
        <w:rPr>
          <w:rFonts w:ascii="Times New Roman" w:hAnsi="Times New Roman"/>
          <w:sz w:val="20"/>
          <w:u w:val="single"/>
        </w:rPr>
        <w:t>Section 5.13</w:t>
      </w:r>
      <w:r>
        <w:rPr>
          <w:rFonts w:ascii="Times New Roman" w:hAnsi="Times New Roman"/>
          <w:sz w:val="20"/>
        </w:rPr>
        <w:t xml:space="preserve">, </w:t>
      </w:r>
      <w:r>
        <w:rPr>
          <w:rFonts w:ascii="Times New Roman" w:hAnsi="Times New Roman"/>
          <w:sz w:val="20"/>
          <w:u w:val="single"/>
        </w:rPr>
        <w:t>Section 5.14</w:t>
      </w:r>
      <w:r>
        <w:rPr>
          <w:rFonts w:ascii="Times New Roman" w:hAnsi="Times New Roman"/>
          <w:sz w:val="20"/>
        </w:rPr>
        <w:t xml:space="preserve">,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Section 6.03</w:t>
      </w:r>
      <w:r>
        <w:rPr>
          <w:rFonts w:ascii="Times New Roman" w:hAnsi="Times New Roman"/>
          <w:sz w:val="20"/>
        </w:rPr>
        <w:t xml:space="preserve">, </w:t>
      </w:r>
      <w:r>
        <w:rPr>
          <w:rFonts w:ascii="Times New Roman" w:hAnsi="Times New Roman"/>
          <w:sz w:val="20"/>
          <w:u w:val="single"/>
        </w:rPr>
        <w:t>Section 6.04</w:t>
      </w:r>
      <w:r>
        <w:rPr>
          <w:rFonts w:ascii="Times New Roman" w:hAnsi="Times New Roman"/>
          <w:sz w:val="20"/>
        </w:rPr>
        <w:t xml:space="preserve">, </w:t>
      </w:r>
      <w:r>
        <w:rPr>
          <w:rFonts w:ascii="Times New Roman" w:hAnsi="Times New Roman"/>
          <w:sz w:val="20"/>
          <w:u w:val="single"/>
        </w:rPr>
        <w:t>Section 6.05</w:t>
      </w:r>
      <w:r>
        <w:rPr>
          <w:rFonts w:ascii="Times New Roman" w:hAnsi="Times New Roman"/>
          <w:sz w:val="20"/>
        </w:rPr>
        <w:t xml:space="preserve">, </w:t>
      </w:r>
      <w:r>
        <w:rPr>
          <w:rFonts w:ascii="Times New Roman" w:hAnsi="Times New Roman"/>
          <w:sz w:val="20"/>
          <w:u w:val="single"/>
        </w:rPr>
        <w:t>Section 6.06</w:t>
      </w:r>
      <w:r>
        <w:rPr>
          <w:rFonts w:ascii="Times New Roman" w:hAnsi="Times New Roman"/>
          <w:sz w:val="20"/>
        </w:rPr>
        <w:t xml:space="preserve">, </w:t>
      </w:r>
      <w:r>
        <w:rPr>
          <w:rFonts w:ascii="Times New Roman" w:hAnsi="Times New Roman"/>
          <w:sz w:val="20"/>
          <w:u w:val="single"/>
        </w:rPr>
        <w:t>Section 6.07</w:t>
      </w:r>
      <w:r>
        <w:rPr>
          <w:rFonts w:ascii="Times New Roman" w:hAnsi="Times New Roman"/>
          <w:sz w:val="20"/>
        </w:rPr>
        <w:t xml:space="preserve">, </w:t>
      </w:r>
      <w:r>
        <w:rPr>
          <w:rFonts w:ascii="Times New Roman" w:hAnsi="Times New Roman"/>
          <w:sz w:val="20"/>
          <w:u w:val="single"/>
        </w:rPr>
        <w:t>Section 6.08</w:t>
      </w:r>
      <w:r>
        <w:rPr>
          <w:rFonts w:ascii="Times New Roman" w:hAnsi="Times New Roman"/>
          <w:sz w:val="20"/>
        </w:rPr>
        <w:t xml:space="preserve">, </w:t>
      </w:r>
      <w:r>
        <w:rPr>
          <w:rFonts w:ascii="Times New Roman" w:hAnsi="Times New Roman"/>
          <w:sz w:val="20"/>
          <w:u w:val="single"/>
        </w:rPr>
        <w:t>Section 6.09</w:t>
      </w:r>
      <w:r>
        <w:rPr>
          <w:rFonts w:ascii="Times New Roman" w:hAnsi="Times New Roman"/>
          <w:sz w:val="20"/>
        </w:rPr>
        <w:t xml:space="preserve">, </w:t>
      </w: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Section 6.12</w:t>
      </w:r>
      <w:r>
        <w:rPr>
          <w:rFonts w:ascii="Times New Roman" w:hAnsi="Times New Roman"/>
          <w:sz w:val="20"/>
        </w:rPr>
        <w:t xml:space="preserve"> and </w:t>
      </w:r>
      <w:r>
        <w:rPr>
          <w:rFonts w:ascii="Times New Roman" w:hAnsi="Times New Roman"/>
          <w:sz w:val="20"/>
          <w:u w:val="single"/>
        </w:rPr>
        <w:t>Section 6.13</w:t>
      </w:r>
      <w:r>
        <w:rPr>
          <w:rFonts w:ascii="Times New Roman" w:hAnsi="Times New Roman"/>
          <w:sz w:val="20"/>
        </w:rPr>
        <w:t xml:space="preserve"> on and after the date the conditions set forth below are satisfied (hereinafter, “</w:t>
      </w:r>
      <w:r>
        <w:rPr>
          <w:rFonts w:ascii="Times New Roman" w:hAnsi="Times New Roman"/>
          <w:b/>
          <w:sz w:val="20"/>
        </w:rPr>
        <w:t>Covenant Defeasance</w:t>
      </w:r>
      <w:r>
        <w:rPr>
          <w:rFonts w:ascii="Times New Roman" w:hAnsi="Times New Roman"/>
          <w:sz w:val="20"/>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or any of its Subsidiaries may omit to comply with and shall have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Event of Default under Section 8.01, but, except as specified above, the remainder of this Indenture and such Notes shall be unaffected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If the Issuer exercises the Covenant Defeasance option, the Liens on the Collateral in respect of the Notes and the Guarantees will be released and the Guarantees in effect at such time will automatically be released.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Conditions to Legal or Covenant Defeasance</w:t>
      </w:r>
      <w:r>
        <w:rPr>
          <w:rFonts w:ascii="Times New Roman" w:hAnsi="Times New Roman"/>
          <w:sz w:val="20"/>
        </w:rPr>
        <w:t xml:space="preserve">. The following shall be the conditions to the application of either </w:t>
      </w:r>
      <w:r>
        <w:rPr>
          <w:rFonts w:ascii="Times New Roman" w:hAnsi="Times New Roman"/>
          <w:sz w:val="20"/>
          <w:u w:val="single"/>
        </w:rPr>
        <w:t>Section 11.02</w:t>
      </w:r>
      <w:r>
        <w:rPr>
          <w:rFonts w:ascii="Times New Roman" w:hAnsi="Times New Roman"/>
          <w:sz w:val="20"/>
        </w:rPr>
        <w:t xml:space="preserve"> or </w:t>
      </w:r>
      <w:r>
        <w:rPr>
          <w:rFonts w:ascii="Times New Roman" w:hAnsi="Times New Roman"/>
          <w:sz w:val="20"/>
          <w:u w:val="single"/>
        </w:rPr>
        <w:t>Section 11.03</w:t>
      </w:r>
      <w:r>
        <w:rPr>
          <w:rFonts w:ascii="Times New Roman" w:hAnsi="Times New Roman"/>
          <w:sz w:val="20"/>
        </w:rPr>
        <w:t xml:space="preserve"> to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(a) the Issuer must irrevocably deposit with the Trustee, as trust funds, in trust solely for the benefit of the Holders, U.S. legal tender, U.S. Government Obligations or a combination thereof, in such amounts as will be sufficient (without consideration of any reinvestment of interest) to pay the principal of and interest and premium, if any, on the outstanding Notes on the stated date for payment thereof or on the applicable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Legal Defeasance, the Issuer shall have delivered to the Trustee an Opinion of Counsel in the United States reasonably acceptable to the Trustee confirming that: </w:t>
      </w:r>
    </w:p>
    <w:p>
      <w:pPr>
        <w:pStyle w:val="TextBody"/>
        <w:bidi w:val="0"/>
        <w:spacing w:before="240" w:after="0"/>
        <w:jc w:val="left"/>
        <w:rPr>
          <w:rFonts w:ascii="Times New Roman" w:hAnsi="Times New Roman"/>
          <w:sz w:val="20"/>
        </w:rPr>
      </w:pPr>
      <w:r>
        <w:rPr>
          <w:rFonts w:ascii="Times New Roman" w:hAnsi="Times New Roman"/>
          <w:sz w:val="20"/>
        </w:rPr>
        <w:t xml:space="preserve">(i) the Issuer has received from, or there has been published by, the United States Internal Revenue Service a ruling, or </w:t>
      </w:r>
    </w:p>
    <w:p>
      <w:pPr>
        <w:pStyle w:val="TextBody"/>
        <w:bidi w:val="0"/>
        <w:spacing w:before="240" w:after="0"/>
        <w:jc w:val="left"/>
        <w:rPr>
          <w:rFonts w:ascii="Times New Roman" w:hAnsi="Times New Roman"/>
          <w:sz w:val="20"/>
        </w:rPr>
      </w:pPr>
      <w:r>
        <w:rPr>
          <w:rFonts w:ascii="Times New Roman" w:hAnsi="Times New Roman"/>
          <w:sz w:val="20"/>
        </w:rPr>
        <w:t xml:space="preserve">(ii) since the Restatement Effective Date, there has been a change in the applicable U.S. federal income tax law, </w:t>
      </w:r>
    </w:p>
    <w:p>
      <w:pPr>
        <w:pStyle w:val="TextBody"/>
        <w:bidi w:val="0"/>
        <w:spacing w:before="240" w:after="0"/>
        <w:jc w:val="left"/>
        <w:rPr>
          <w:rFonts w:ascii="Times New Roman" w:hAnsi="Times New Roman"/>
          <w:sz w:val="20"/>
        </w:rPr>
      </w:pPr>
      <w:r>
        <w:rPr>
          <w:rFonts w:ascii="Times New Roman" w:hAnsi="Times New Roman"/>
          <w:sz w:val="20"/>
        </w:rPr>
        <w:t xml:space="preserve">in either case to the effect that, and based thereon such Opinion of Counsel shall confirm that, the beneficial owners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Covenant Defeasance, the Issuer shall have delivered to the Trustee an Opinion of Counsel in the United States reasonably acceptable to the Trustee confirming that the beneficial owners of the outstanding Notes will not recognize income, gain or loss for U.S. federal income tax purposes as a result of the Covenant Defeasance and will be subject to U.S. federal income tax on the same amounts, in the same manner and at the same times as would have been the case if such Covenant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(d) no Default shall have occurred and be continuing on the date of such deposit (other than a Default resulting from the borrowing of funds to be applied to such deposit (and any similar concurrent deposit relates to other Indebtedness) and the grant of any Lien securing such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Legal Defeasance or Covenant Defeasance shall not result in a breach or violation of, or constitute a default under any other material agreement or instrument (other than this Indenture and the agreements governing any other Indebtedness being defeased, discharged or replaced) to which the Issuer or any of its Subsidiaries is a party or by which the Issuer or any of its Subsidiaries is bound or, if such breach, violation or default would occur, such breach, violation or default is waived as of and for all purposes, on and after, the date of such deposit; and </w:t>
      </w:r>
    </w:p>
    <w:p>
      <w:pPr>
        <w:pStyle w:val="TextBody"/>
        <w:bidi w:val="0"/>
        <w:spacing w:before="240" w:after="0"/>
        <w:jc w:val="left"/>
        <w:rPr>
          <w:rFonts w:ascii="Times New Roman" w:hAnsi="Times New Roman"/>
          <w:sz w:val="20"/>
        </w:rPr>
      </w:pPr>
      <w:r>
        <w:rPr>
          <w:rFonts w:ascii="Times New Roman" w:hAnsi="Times New Roman"/>
          <w:sz w:val="20"/>
        </w:rPr>
        <w:t xml:space="preserve">(f) the Issuer shall have delivered to the Trustee an Officer’s Certificate and an Opinion of Counsel to the effect that the conditions precedent provided for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of this </w:t>
      </w:r>
      <w:r>
        <w:rPr>
          <w:rFonts w:ascii="Times New Roman" w:hAnsi="Times New Roman"/>
          <w:sz w:val="20"/>
          <w:u w:val="single"/>
        </w:rPr>
        <w:t>Section 11.04</w:t>
      </w:r>
      <w:r>
        <w:rPr>
          <w:rFonts w:ascii="Times New Roman" w:hAnsi="Times New Roman"/>
          <w:sz w:val="20"/>
        </w:rPr>
        <w:t xml:space="preserve"> have been complied with; </w:t>
      </w:r>
      <w:r>
        <w:rPr>
          <w:rFonts w:ascii="Times New Roman" w:hAnsi="Times New Roman"/>
          <w:i/>
          <w:sz w:val="20"/>
        </w:rPr>
        <w:t xml:space="preserve">provided </w:t>
      </w:r>
      <w:r>
        <w:rPr>
          <w:rFonts w:ascii="Times New Roman" w:hAnsi="Times New Roman"/>
          <w:sz w:val="20"/>
        </w:rPr>
        <w:t xml:space="preserve">that the opinion with respect to the condition in </w:t>
      </w:r>
      <w:r>
        <w:rPr>
          <w:rFonts w:ascii="Times New Roman" w:hAnsi="Times New Roman"/>
          <w:sz w:val="20"/>
          <w:u w:val="single"/>
        </w:rPr>
        <w:t>clause (e)</w:t>
      </w:r>
      <w:r>
        <w:rPr>
          <w:rFonts w:ascii="Times New Roman" w:hAnsi="Times New Roman"/>
          <w:sz w:val="20"/>
        </w:rPr>
        <w:t xml:space="preserve"> may be limited to a review of instruments certified by an Officer as being the only material instruments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Deposited Money and U.S. Government Obligations to Be Held in Trust, Other 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11.06</w:t>
      </w:r>
      <w:r>
        <w:rPr>
          <w:rFonts w:ascii="Times New Roman" w:hAnsi="Times New Roman"/>
          <w:sz w:val="20"/>
        </w:rPr>
        <w:t xml:space="preserve">, all U.S. legal tender and U.S. Government Obligations (including the proceeds thereof) deposited with the Trustee (or other qualifying trustee, collectively for purposes of this </w:t>
      </w:r>
      <w:r>
        <w:rPr>
          <w:rFonts w:ascii="Times New Roman" w:hAnsi="Times New Roman"/>
          <w:sz w:val="20"/>
          <w:u w:val="single"/>
        </w:rPr>
        <w:t>Section 11.05</w:t>
      </w:r>
      <w:r>
        <w:rPr>
          <w:rFonts w:ascii="Times New Roman" w:hAnsi="Times New Roman"/>
          <w:sz w:val="20"/>
        </w:rPr>
        <w:t>, the “</w:t>
      </w:r>
      <w:r>
        <w:rPr>
          <w:rFonts w:ascii="Times New Roman" w:hAnsi="Times New Roman"/>
          <w:b/>
          <w:sz w:val="20"/>
        </w:rPr>
        <w:t>Deposit Trustee</w:t>
      </w:r>
      <w:r>
        <w:rPr>
          <w:rFonts w:ascii="Times New Roman" w:hAnsi="Times New Roman"/>
          <w:sz w:val="20"/>
        </w:rPr>
        <w:t xml:space="preserve">”) pursuant to </w:t>
      </w:r>
      <w:r>
        <w:rPr>
          <w:rFonts w:ascii="Times New Roman" w:hAnsi="Times New Roman"/>
          <w:sz w:val="20"/>
          <w:u w:val="single"/>
        </w:rPr>
        <w:t>Section 11.04</w:t>
      </w:r>
      <w:r>
        <w:rPr>
          <w:rFonts w:ascii="Times New Roman" w:hAnsi="Times New Roman"/>
          <w:sz w:val="20"/>
        </w:rPr>
        <w:t xml:space="preserve"> or </w:t>
      </w:r>
      <w:r>
        <w:rPr>
          <w:rFonts w:ascii="Times New Roman" w:hAnsi="Times New Roman"/>
          <w:sz w:val="20"/>
          <w:u w:val="single"/>
        </w:rPr>
        <w:t>Section 11.08</w:t>
      </w:r>
      <w:r>
        <w:rPr>
          <w:rFonts w:ascii="Times New Roman" w:hAnsi="Times New Roman"/>
          <w:sz w:val="20"/>
        </w:rPr>
        <w:t xml:space="preserve"> in respect of the outstanding Notes shall be held in trust, shall not be invested, and shall be applied by the Deposit Trustee in accordance with the provisions of such Notes and this Indenture to the payment, either directly or through any Paying Agent (including the Issuer or any Subsidiary acting as Paying Agent) as the Deposit Trustee may determine, to the Holders of such Notes of all sums due and to become due thereon in respect of principal, premium, if any, and interest, if any,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Issuer shall pay and indemnify the Deposit Trustee against any tax, fee or other charge imposed on or assessed against the cash or non-callable U.S. Government Obligations deposited pursuant to </w:t>
      </w:r>
      <w:r>
        <w:rPr>
          <w:rFonts w:ascii="Times New Roman" w:hAnsi="Times New Roman"/>
          <w:sz w:val="20"/>
          <w:u w:val="single"/>
        </w:rPr>
        <w:t>Section 11.04</w:t>
      </w:r>
      <w:r>
        <w:rPr>
          <w:rFonts w:ascii="Times New Roman" w:hAnsi="Times New Roman"/>
          <w:sz w:val="20"/>
        </w:rPr>
        <w:t xml:space="preserve"> or </w:t>
      </w:r>
      <w:r>
        <w:rPr>
          <w:rFonts w:ascii="Times New Roman" w:hAnsi="Times New Roman"/>
          <w:sz w:val="20"/>
          <w:u w:val="single"/>
        </w:rPr>
        <w:t>Section 11.08</w:t>
      </w:r>
      <w:r>
        <w:rPr>
          <w:rFonts w:ascii="Times New Roman" w:hAnsi="Times New Roman"/>
          <w:sz w:val="20"/>
        </w:rPr>
        <w:t xml:space="preserve"> or the principal and interest received in respect thereof other than any such tax, fee or other charge which by law is for the account of the Holders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(c) Anything in this Article VIII to the contrary notwithstanding, the Deposit Trustee shall deliver or pay to the Issuer from time to time upon the written request of the Issuer and be relieved of all liability with respect to any U.S. legal tender or non-callable U.S. Government Obligations held by it as provided in </w:t>
      </w:r>
      <w:r>
        <w:rPr>
          <w:rFonts w:ascii="Times New Roman" w:hAnsi="Times New Roman"/>
          <w:sz w:val="20"/>
          <w:u w:val="single"/>
        </w:rPr>
        <w:t>Section 11.04</w:t>
      </w:r>
      <w:r>
        <w:rPr>
          <w:rFonts w:ascii="Times New Roman" w:hAnsi="Times New Roman"/>
          <w:sz w:val="20"/>
        </w:rPr>
        <w:t xml:space="preserve"> or </w:t>
      </w:r>
      <w:r>
        <w:rPr>
          <w:rFonts w:ascii="Times New Roman" w:hAnsi="Times New Roman"/>
          <w:sz w:val="20"/>
          <w:u w:val="single"/>
        </w:rPr>
        <w:t>Section 11.08</w:t>
      </w:r>
      <w:r>
        <w:rPr>
          <w:rFonts w:ascii="Times New Roman" w:hAnsi="Times New Roman"/>
          <w:sz w:val="20"/>
        </w:rPr>
        <w:t xml:space="preserve"> which are in excess of the amount thereof that would then be required to be deposited to effect an equivalent Legal Defeasance or Covenant Defeasance or satisfaction and discharge,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Repayment to Issuer</w:t>
      </w:r>
      <w:r>
        <w:rPr>
          <w:rFonts w:ascii="Times New Roman" w:hAnsi="Times New Roman"/>
          <w:sz w:val="20"/>
        </w:rPr>
        <w:t xml:space="preserve">. Any money deposited with the Trustee or any Paying Agent, or then held by the Issuer, in trust for the payment of the principal of, premium, if any, or interest, if any, on any Note and remaining unclaimed for two years after such principal and premium, if any, or interest has become due and payable shall be paid to the Issuer on its written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provided, however, that the Trustee or such Paying Agent, before being required to make any such repayment, may at the expense of the Issuer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Reinstatement</w:t>
      </w:r>
      <w:r>
        <w:rPr>
          <w:rFonts w:ascii="Times New Roman" w:hAnsi="Times New Roman"/>
          <w:sz w:val="20"/>
        </w:rPr>
        <w:t xml:space="preserve">. If the Trustee or Paying Agent is unable to apply any U.S. dollars or U.S. Government Obligations in accordance with </w:t>
      </w:r>
      <w:r>
        <w:rPr>
          <w:rFonts w:ascii="Times New Roman" w:hAnsi="Times New Roman"/>
          <w:sz w:val="20"/>
          <w:u w:val="single"/>
        </w:rPr>
        <w:t>Section 11.02</w:t>
      </w:r>
      <w:r>
        <w:rPr>
          <w:rFonts w:ascii="Times New Roman" w:hAnsi="Times New Roman"/>
          <w:sz w:val="20"/>
        </w:rPr>
        <w:t xml:space="preserve">, </w:t>
      </w:r>
      <w:r>
        <w:rPr>
          <w:rFonts w:ascii="Times New Roman" w:hAnsi="Times New Roman"/>
          <w:sz w:val="20"/>
          <w:u w:val="single"/>
        </w:rPr>
        <w:t>Section 11.03</w:t>
      </w:r>
      <w:r>
        <w:rPr>
          <w:rFonts w:ascii="Times New Roman" w:hAnsi="Times New Roman"/>
          <w:sz w:val="20"/>
        </w:rPr>
        <w:t xml:space="preserve"> or </w:t>
      </w:r>
      <w:r>
        <w:rPr>
          <w:rFonts w:ascii="Times New Roman" w:hAnsi="Times New Roman"/>
          <w:sz w:val="20"/>
          <w:u w:val="single"/>
        </w:rPr>
        <w:t>Section 11.08</w:t>
      </w:r>
      <w:r>
        <w:rPr>
          <w:rFonts w:ascii="Times New Roman" w:hAnsi="Times New Roman"/>
          <w:sz w:val="20"/>
        </w:rPr>
        <w:t xml:space="preserve">, as the case may be, by reason of any order or judgment of any court or governmental authority enjoining, restraining or otherwise prohibiting such application, then the obligations of the Issuer and the Guarantors under this Indenture and the Notes shall be revived and reinstated as though no deposit had occurred pursuant to </w:t>
      </w:r>
      <w:r>
        <w:rPr>
          <w:rFonts w:ascii="Times New Roman" w:hAnsi="Times New Roman"/>
          <w:sz w:val="20"/>
          <w:u w:val="single"/>
        </w:rPr>
        <w:t>Section 11.02</w:t>
      </w:r>
      <w:r>
        <w:rPr>
          <w:rFonts w:ascii="Times New Roman" w:hAnsi="Times New Roman"/>
          <w:sz w:val="20"/>
        </w:rPr>
        <w:t xml:space="preserve">, </w:t>
      </w:r>
      <w:r>
        <w:rPr>
          <w:rFonts w:ascii="Times New Roman" w:hAnsi="Times New Roman"/>
          <w:sz w:val="20"/>
          <w:u w:val="single"/>
        </w:rPr>
        <w:t>Section 11.03</w:t>
      </w:r>
      <w:r>
        <w:rPr>
          <w:rFonts w:ascii="Times New Roman" w:hAnsi="Times New Roman"/>
          <w:sz w:val="20"/>
        </w:rPr>
        <w:t xml:space="preserve"> or </w:t>
      </w:r>
      <w:r>
        <w:rPr>
          <w:rFonts w:ascii="Times New Roman" w:hAnsi="Times New Roman"/>
          <w:sz w:val="20"/>
          <w:u w:val="single"/>
        </w:rPr>
        <w:t>Section 11.08</w:t>
      </w:r>
      <w:r>
        <w:rPr>
          <w:rFonts w:ascii="Times New Roman" w:hAnsi="Times New Roman"/>
          <w:sz w:val="20"/>
        </w:rPr>
        <w:t xml:space="preserve"> until such time as the Trustee or Paying Agent is permitted to apply all such money in accordance with </w:t>
      </w:r>
      <w:r>
        <w:rPr>
          <w:rFonts w:ascii="Times New Roman" w:hAnsi="Times New Roman"/>
          <w:sz w:val="20"/>
          <w:u w:val="single"/>
        </w:rPr>
        <w:t>Section 11.02</w:t>
      </w:r>
      <w:r>
        <w:rPr>
          <w:rFonts w:ascii="Times New Roman" w:hAnsi="Times New Roman"/>
          <w:sz w:val="20"/>
        </w:rPr>
        <w:t xml:space="preserve">, </w:t>
      </w:r>
      <w:r>
        <w:rPr>
          <w:rFonts w:ascii="Times New Roman" w:hAnsi="Times New Roman"/>
          <w:sz w:val="20"/>
          <w:u w:val="single"/>
        </w:rPr>
        <w:t>Section 11.03</w:t>
      </w:r>
      <w:r>
        <w:rPr>
          <w:rFonts w:ascii="Times New Roman" w:hAnsi="Times New Roman"/>
          <w:sz w:val="20"/>
        </w:rPr>
        <w:t xml:space="preserve"> or </w:t>
      </w:r>
      <w:r>
        <w:rPr>
          <w:rFonts w:ascii="Times New Roman" w:hAnsi="Times New Roman"/>
          <w:sz w:val="20"/>
          <w:u w:val="single"/>
        </w:rPr>
        <w:t>Section 11.08</w:t>
      </w:r>
      <w:r>
        <w:rPr>
          <w:rFonts w:ascii="Times New Roman" w:hAnsi="Times New Roman"/>
          <w:sz w:val="20"/>
        </w:rPr>
        <w:t xml:space="preserve">, as the case may be; provided, however,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Discharge</w:t>
      </w:r>
      <w:r>
        <w:rPr>
          <w:rFonts w:ascii="Times New Roman" w:hAnsi="Times New Roman"/>
          <w:sz w:val="20"/>
        </w:rPr>
        <w:t xml:space="preserve">. This Indenture and the Security Documents will be discharged and will cease to be of further effect (except as to rights of registration of transfer or exchange of Notes which shall survive until all Notes have been canceled and the rights, protections and immunities of the Trustee and the Collateral Agent) as to all outstanding Notes and security granted for the Notes and the Guarantees when either: </w:t>
      </w:r>
    </w:p>
    <w:p>
      <w:pPr>
        <w:pStyle w:val="TextBody"/>
        <w:bidi w:val="0"/>
        <w:spacing w:before="240" w:after="0"/>
        <w:jc w:val="left"/>
        <w:rPr>
          <w:rFonts w:ascii="Times New Roman" w:hAnsi="Times New Roman"/>
          <w:sz w:val="20"/>
        </w:rPr>
      </w:pPr>
      <w:r>
        <w:rPr>
          <w:rFonts w:ascii="Times New Roman" w:hAnsi="Times New Roman"/>
          <w:sz w:val="20"/>
        </w:rPr>
        <w:t xml:space="preserve">(a) 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 </w:t>
      </w:r>
    </w:p>
    <w:p>
      <w:pPr>
        <w:pStyle w:val="TextBody"/>
        <w:bidi w:val="0"/>
        <w:spacing w:before="240" w:after="0"/>
        <w:jc w:val="left"/>
        <w:rPr>
          <w:rFonts w:ascii="Times New Roman" w:hAnsi="Times New Roman"/>
          <w:sz w:val="20"/>
        </w:rPr>
      </w:pPr>
      <w:r>
        <w:rPr>
          <w:rFonts w:ascii="Times New Roman" w:hAnsi="Times New Roman"/>
          <w:sz w:val="20"/>
        </w:rPr>
        <w:t xml:space="preserve">(b) </w:t>
      </w:r>
    </w:p>
    <w:p>
      <w:pPr>
        <w:pStyle w:val="TextBody"/>
        <w:bidi w:val="0"/>
        <w:spacing w:before="240" w:after="0"/>
        <w:jc w:val="left"/>
        <w:rPr>
          <w:rFonts w:ascii="Times New Roman" w:hAnsi="Times New Roman"/>
          <w:sz w:val="20"/>
        </w:rPr>
      </w:pPr>
      <w:r>
        <w:rPr>
          <w:rFonts w:ascii="Times New Roman" w:hAnsi="Times New Roman"/>
          <w:sz w:val="20"/>
        </w:rPr>
        <w:t xml:space="preserve">(i) all Notes not delivered to the Trustee for cancellation otherwise (A) have become due and payable, (B) will become due and payable within one year or (C) have been called for redemption pursuant to </w:t>
      </w:r>
      <w:r>
        <w:rPr>
          <w:rFonts w:ascii="Times New Roman" w:hAnsi="Times New Roman"/>
          <w:sz w:val="20"/>
          <w:u w:val="single"/>
        </w:rPr>
        <w:t>Section 3.07</w:t>
      </w:r>
      <w:r>
        <w:rPr>
          <w:rFonts w:ascii="Times New Roman" w:hAnsi="Times New Roman"/>
          <w:sz w:val="20"/>
        </w:rPr>
        <w:t xml:space="preserve"> and, in any case, the Issuer has irrevocably deposited or caused to be deposited with the Trustee as trust funds in trust solely for the benefit of the Holders, U.S. legal tender, U.S. Government Obligations or a combination thereof, in such amounts as will be sufficient (without consideration of any reinvestment of interest) to pay and discharge the entire Indebtedness (including all principal and accrued and unpaid interest and premium, if any) on the Notes not theretofore delivered to the Trustee for cancellation (</w:t>
      </w:r>
      <w:r>
        <w:rPr>
          <w:rFonts w:ascii="Times New Roman" w:hAnsi="Times New Roman"/>
          <w:i/>
          <w:sz w:val="20"/>
        </w:rPr>
        <w:t xml:space="preserve">provided </w:t>
      </w:r>
      <w:r>
        <w:rPr>
          <w:rFonts w:ascii="Times New Roman" w:hAnsi="Times New Roman"/>
          <w:sz w:val="20"/>
        </w:rPr>
        <w:t xml:space="preserve">that if such redemption is made as provided under </w:t>
      </w:r>
      <w:r>
        <w:rPr>
          <w:rFonts w:ascii="Times New Roman" w:hAnsi="Times New Roman"/>
          <w:sz w:val="20"/>
          <w:u w:val="single"/>
        </w:rPr>
        <w:t>Section 3.07</w:t>
      </w:r>
      <w:r>
        <w:rPr>
          <w:rFonts w:ascii="Times New Roman" w:hAnsi="Times New Roman"/>
          <w:sz w:val="20"/>
        </w:rPr>
        <w:t xml:space="preserve">, (x) the amount of cash in U.S. dollars, U.S. Government Obligations, or a combination thereof, that must be irrevocably deposited will be determined using an assumed redemption price calculated as of the date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deposit and (y) the depositor must irrevocably deposit or cause to be deposited additional money in trust on the redemption date as necessary to pay the redemption price as determined by such date) (any such amount, the “</w:t>
      </w:r>
      <w:r>
        <w:rPr>
          <w:rFonts w:ascii="Times New Roman" w:hAnsi="Times New Roman"/>
          <w:b/>
          <w:sz w:val="20"/>
        </w:rPr>
        <w:t>Call Premium Deficit</w:t>
      </w:r>
      <w:r>
        <w:rPr>
          <w:rFonts w:ascii="Times New Roman" w:hAnsi="Times New Roman"/>
          <w:sz w:val="20"/>
        </w:rPr>
        <w:t xml:space="preserve">”) (it being understood that any satisfaction and discharge shall be subject to the condition subsequent that such Call Premium Deficit is in fact paid); </w:t>
      </w:r>
      <w:r>
        <w:rPr>
          <w:rFonts w:ascii="Times New Roman" w:hAnsi="Times New Roman"/>
          <w:i/>
          <w:sz w:val="20"/>
        </w:rPr>
        <w:t xml:space="preserve">provided </w:t>
      </w:r>
      <w:r>
        <w:rPr>
          <w:rFonts w:ascii="Times New Roman" w:hAnsi="Times New Roman"/>
          <w:sz w:val="20"/>
        </w:rPr>
        <w:t xml:space="preserve">that the Trustee shall have no liability whatsoever in the event that such Call Premium Deficit is not in fact paid after any satisfaction and discharge of this Indenture and that any Call Premium Deficit will be set forth in an Officer’s Certificate delivered to the Trustee simultaneously with the deposit of such Call Premium Deficit that confirms that such Call Premium Deficit will be applied toward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(ii) the Issuer has paid or caused to be paid all other sums payable by it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(iii) the Issuer has delivered irrevocable instructions to the Trustee under this Indenture to apply the deposited money toward the payment of the Notes at maturity or on the date of redemption,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Issuer must deliver an Officer’s Certificate and an Opinion of Counsel to the Trustee stating that all conditions precedent to satisfaction and discharge have been complied with. Upon the satisfaction and discharge of this Indenture, all Liens on the Collateral securing the Notes and all Guarantees then in effect will be automatically released (without the need for any action by any party), and the Trustee and Collateral Agent shall execute acknowledgements thereof upon the reasonable request of the Issuer. </w:t>
      </w:r>
    </w:p>
    <w:p>
      <w:pPr>
        <w:pStyle w:val="TextBody"/>
        <w:bidi w:val="0"/>
        <w:spacing w:before="240" w:after="0"/>
        <w:jc w:val="left"/>
        <w:rPr>
          <w:rFonts w:ascii="Times New Roman" w:hAnsi="Times New Roman"/>
          <w:sz w:val="20"/>
        </w:rPr>
      </w:pPr>
      <w:r>
        <w:rPr>
          <w:rFonts w:ascii="Times New Roman" w:hAnsi="Times New Roman"/>
          <w:sz w:val="20"/>
        </w:rPr>
        <w:t xml:space="preserve">After the Notes are no longer outstanding, the Issuer’s and the Guarantors’ obligations in </w:t>
      </w:r>
      <w:r>
        <w:rPr>
          <w:rFonts w:ascii="Times New Roman" w:hAnsi="Times New Roman"/>
          <w:sz w:val="20"/>
          <w:u w:val="single"/>
        </w:rPr>
        <w:t>Section 9.06</w:t>
      </w:r>
      <w:r>
        <w:rPr>
          <w:rFonts w:ascii="Times New Roman" w:hAnsi="Times New Roman"/>
          <w:sz w:val="20"/>
        </w:rPr>
        <w:t xml:space="preserve">, </w:t>
      </w:r>
      <w:r>
        <w:rPr>
          <w:rFonts w:ascii="Times New Roman" w:hAnsi="Times New Roman"/>
          <w:sz w:val="20"/>
          <w:u w:val="single"/>
        </w:rPr>
        <w:t>Section 11.05</w:t>
      </w:r>
      <w:r>
        <w:rPr>
          <w:rFonts w:ascii="Times New Roman" w:hAnsi="Times New Roman"/>
          <w:sz w:val="20"/>
        </w:rPr>
        <w:t xml:space="preserve"> and </w:t>
      </w:r>
      <w:r>
        <w:rPr>
          <w:rFonts w:ascii="Times New Roman" w:hAnsi="Times New Roman"/>
          <w:sz w:val="20"/>
          <w:u w:val="single"/>
        </w:rPr>
        <w:t>Section 11.07</w:t>
      </w:r>
      <w:r>
        <w:rPr>
          <w:rFonts w:ascii="Times New Roman" w:hAnsi="Times New Roman"/>
          <w:sz w:val="20"/>
        </w:rPr>
        <w:t xml:space="preserve"> shall survive any discharge pursuant to this </w:t>
      </w:r>
      <w:r>
        <w:rPr>
          <w:rFonts w:ascii="Times New Roman" w:hAnsi="Times New Roman"/>
          <w:sz w:val="20"/>
          <w:u w:val="single"/>
        </w:rPr>
        <w:t>Section 11.08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After such delivery or irrevocable deposit and receipt of the Officer’s Certificate and Opinion of Counsel, the Trustee, upon written request, shall acknowledge in writing the discharge of the Issuer’s obligations under the Notes and this Indenture except for those surviving obligations specified above.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SUPPLEMENT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Without Consent of Holders of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w:t>
      </w:r>
      <w:r>
        <w:rPr>
          <w:rFonts w:ascii="Times New Roman" w:hAnsi="Times New Roman"/>
          <w:sz w:val="20"/>
          <w:u w:val="single"/>
        </w:rPr>
        <w:t>Section 12.02</w:t>
      </w:r>
      <w:r>
        <w:rPr>
          <w:rFonts w:ascii="Times New Roman" w:hAnsi="Times New Roman"/>
          <w:sz w:val="20"/>
        </w:rPr>
        <w:t xml:space="preserve">, without the consent of any Holders, the Issuer, the Trustee and the Collateral Agent and the Calculation Agent, as applicable, at any time and from time to time, may amend or supplement this Indenture, the Guarantees, the Notes or any Security Document or Intercreditor Agreement issued hereunder for any of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(i) to cure any ambiguity, omission, mistake,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(ii) to provide for uncertificated Notes in addition to or in place of certificated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[reserved]; </w:t>
      </w:r>
    </w:p>
    <w:p>
      <w:pPr>
        <w:pStyle w:val="TextBody"/>
        <w:bidi w:val="0"/>
        <w:spacing w:before="240" w:after="0"/>
        <w:jc w:val="left"/>
        <w:rPr>
          <w:rFonts w:ascii="Times New Roman" w:hAnsi="Times New Roman"/>
          <w:sz w:val="20"/>
        </w:rPr>
      </w:pPr>
      <w:r>
        <w:rPr>
          <w:rFonts w:ascii="Times New Roman" w:hAnsi="Times New Roman"/>
          <w:sz w:val="20"/>
        </w:rPr>
        <w:t xml:space="preserve">(iv) to add any Guarantee or Guarantor or to effect the release of any Guarantor from any of its obligations under its Guarantee or the provisions of this Indenture (to the extent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(v) to make any change that would provide any additional rights or benefits to the Holders or that does not materially adversely affect the rights of any Holder; </w:t>
      </w:r>
    </w:p>
    <w:p>
      <w:pPr>
        <w:pStyle w:val="TextBody"/>
        <w:bidi w:val="0"/>
        <w:spacing w:before="240" w:after="0"/>
        <w:jc w:val="left"/>
        <w:rPr>
          <w:rFonts w:ascii="Times New Roman" w:hAnsi="Times New Roman"/>
          <w:sz w:val="20"/>
        </w:rPr>
      </w:pPr>
      <w:r>
        <w:rPr>
          <w:rFonts w:ascii="Times New Roman" w:hAnsi="Times New Roman"/>
          <w:sz w:val="20"/>
        </w:rPr>
        <w:t xml:space="preserve">(vi) to add covenants or Events of Default for the benefit of the Holders or to surrender any right or power conferred upon the Issuer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(vii) to make any change in order to maintain the transferability of the Notes pursuant to Rule 144A or Regulations S or to institutional accredited investors; </w:t>
      </w:r>
    </w:p>
    <w:p>
      <w:pPr>
        <w:pStyle w:val="TextBody"/>
        <w:bidi w:val="0"/>
        <w:spacing w:before="240" w:after="0"/>
        <w:jc w:val="left"/>
        <w:rPr>
          <w:rFonts w:ascii="Times New Roman" w:hAnsi="Times New Roman"/>
          <w:sz w:val="20"/>
        </w:rPr>
      </w:pPr>
      <w:r>
        <w:rPr>
          <w:rFonts w:ascii="Times New Roman" w:hAnsi="Times New Roman"/>
          <w:sz w:val="20"/>
        </w:rPr>
        <w:t xml:space="preserve">(viii) to make any change to this Indenture relating to the transfer and legending of Notes as permitted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(ix) to evidence and provide for the acceptance of appointment by a successor Trustee, a successor Collateral Agent or a successor Calculation Agent ; </w:t>
      </w:r>
    </w:p>
    <w:p>
      <w:pPr>
        <w:pStyle w:val="TextBody"/>
        <w:bidi w:val="0"/>
        <w:spacing w:before="240" w:after="0"/>
        <w:jc w:val="left"/>
        <w:rPr>
          <w:rFonts w:ascii="Times New Roman" w:hAnsi="Times New Roman"/>
          <w:sz w:val="20"/>
        </w:rPr>
      </w:pPr>
      <w:r>
        <w:rPr>
          <w:rFonts w:ascii="Times New Roman" w:hAnsi="Times New Roman"/>
          <w:sz w:val="20"/>
        </w:rPr>
        <w:t xml:space="preserve">(x) to provide for the issuance of (A) Additional Notes and related Guarantees (and the grant of security for such Additional Notes and Guarantees) in accordance with this Indenture and the ABL/Note Intercreditor Agreement and (B) Notes issued as part of a PIK Election in accordance with the terms of this Indenture and/or the Notes Documents; </w:t>
      </w:r>
    </w:p>
    <w:p>
      <w:pPr>
        <w:pStyle w:val="TextBody"/>
        <w:bidi w:val="0"/>
        <w:spacing w:before="240" w:after="0"/>
        <w:jc w:val="left"/>
        <w:rPr>
          <w:rFonts w:ascii="Times New Roman" w:hAnsi="Times New Roman"/>
          <w:sz w:val="20"/>
        </w:rPr>
      </w:pPr>
      <w:r>
        <w:rPr>
          <w:rFonts w:ascii="Times New Roman" w:hAnsi="Times New Roman"/>
          <w:sz w:val="20"/>
        </w:rPr>
        <w:t xml:space="preserve">(xi) to make, complete or confirm any grant of Collateral permitted or required by this Indenture or any of the Security Documents or any release, termination or discharge of Collateral that becomes effective as set forth in this Indenture or any of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(xii) to grant any Lien for the benefit of the holders of any future Pari Passu Notes Lien Indebtedness, Pari Passu ABL Lien Indebtedness or Junior Secured Indebtedness in accordance with and as permitted by the terms of this Indenture and the Intercreditor Agreement (and, with respect to Junior Secured Indebtedness, any Other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(xiii) to add additional secured parties to the ABL/Note Intercreditor Agreement to the extent Liens securing obligations held by such parties are permitted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(xiv) to mortgage, pledge, hypothecate or grant a security interest in favor of the Collateral Agent for the benefit of the Trustee and the Holders of the Notes as additional security for the payment and performance of the Issuer’s and any Guarantor’s obligations under this Indenture, in any property, or assets, including any of which are required to be mortgaged, pledged or hypothecated, or in which a security interest is required to be granted to the Trustee or the Collateral Agent in accordance with the terms of this Indenture or otherwise;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to provide for the succession of any parties to the Security Documents (and other amendments that are administrative or ministerial in nature) and the Intercreditor Agreement in connection with an amendment, renewal, extension, substitution, refinancing, restructuring, replacement, supplementing or other modification from time to time of any agreement in accordance with the terms of this Indenture, the Intercreditor Agreement and the relevant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the Notes shall be deemed to have consented for purposes of the Security Documents and the ABL/Note Intercreditor Agreement to any of the following amendments, waivers and other modifications to the Security Documents and the ABL/Note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(i) (A) to add other parties (or any authorized agent thereof or trustee therefor) holding Pari Passu Notes Lien Indebtedness that are incurred in compliance with the ABL Credit Agreement and the Notes Documents and (B) to establish that the Liens on any Collateral securing such Pari Passu Notes Lien Indebtedness shall rank equally with the Liens on such Collateral securing the obligations under this Indenture, the Notes and the Guarantees; </w:t>
      </w:r>
    </w:p>
    <w:p>
      <w:pPr>
        <w:pStyle w:val="TextBody"/>
        <w:bidi w:val="0"/>
        <w:spacing w:before="240" w:after="0"/>
        <w:jc w:val="left"/>
        <w:rPr>
          <w:rFonts w:ascii="Times New Roman" w:hAnsi="Times New Roman"/>
          <w:sz w:val="20"/>
        </w:rPr>
      </w:pPr>
      <w:r>
        <w:rPr>
          <w:rFonts w:ascii="Times New Roman" w:hAnsi="Times New Roman"/>
          <w:sz w:val="20"/>
        </w:rPr>
        <w:t xml:space="preserve">(ii) (A) to add other parties (or any authorized agent thereof or trustee therefor) holding Pari Passu ABL Lien Indebtedness that is incurred in compliance with the ABL Credit Agreement and the Notes Documents, (B) to establish that the Liens on any Collateral securing such Pari Passu ABL Lien Indebtedness shall rank equally with the Liens on such Collateral securing the ABL Obligations and senior to the Liens on such ABL Priority Collateral securing any obligations under this Indenture, the Notes and the Guarantees, all on the terms provided for in the Intercreditor Agreement in effect immediately prior to such amendment, (C) to establish that the Liens on any Notes Priority Collateral securing such Pari Passu ABL Lien Indebtedness shall be junior and subordinated to the Liens on such Notes Priority Collateral securing any obligations under this Indenture, the Notes and the Guarantees, all on the terms provided for in the Intercreditor Agreement in effect immediately prior to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(iii) to establish that the Liens on any ABL Priority Collateral securing any Indebtedness replacing the ABL Credit Agreement permitted to be incurred under </w:t>
      </w:r>
      <w:r>
        <w:rPr>
          <w:rFonts w:ascii="Times New Roman" w:hAnsi="Times New Roman"/>
          <w:sz w:val="20"/>
          <w:u w:val="single"/>
        </w:rPr>
        <w:t>Section 6.01(c)</w:t>
      </w:r>
      <w:r>
        <w:rPr>
          <w:rFonts w:ascii="Times New Roman" w:hAnsi="Times New Roman"/>
          <w:sz w:val="20"/>
        </w:rPr>
        <w:t xml:space="preserve"> shall be senior to the Liens on such ABL Priority Collateral securing any obligations under this Indenture, the Notes and the Guarantees, and that any obligations under this Indenture, the Notes and the Guarantees shall continue to be secured on a first-priority basis by the Notes Priority Collateral and on a second-priority basis on the ABL Priority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(iv) upon any cancellation or termination of the ABL Credit Agreement without a replacement thereof, to establish that the ABL Priority Collateral shall become Notes Priority Collateral. </w:t>
      </w:r>
    </w:p>
    <w:p>
      <w:pPr>
        <w:pStyle w:val="TextBody"/>
        <w:bidi w:val="0"/>
        <w:spacing w:before="240" w:after="0"/>
        <w:jc w:val="left"/>
        <w:rPr>
          <w:rFonts w:ascii="Times New Roman" w:hAnsi="Times New Roman"/>
          <w:sz w:val="20"/>
        </w:rPr>
      </w:pPr>
      <w:r>
        <w:rPr>
          <w:rFonts w:ascii="Times New Roman" w:hAnsi="Times New Roman"/>
          <w:sz w:val="20"/>
        </w:rPr>
        <w:t xml:space="preserve">(c) Any such additional party added pursuant to </w:t>
      </w:r>
      <w:r>
        <w:rPr>
          <w:rFonts w:ascii="Times New Roman" w:hAnsi="Times New Roman"/>
          <w:sz w:val="20"/>
          <w:u w:val="single"/>
        </w:rPr>
        <w:t>Section 5.12(b)(ii)</w:t>
      </w:r>
      <w:r>
        <w:rPr>
          <w:rFonts w:ascii="Times New Roman" w:hAnsi="Times New Roman"/>
          <w:sz w:val="20"/>
        </w:rPr>
        <w:t xml:space="preserve">, the ABL Collateral Agent, the Trustee and the Collateral Agent shall be entitled to rely upon an Officer’s Certificate certifying that such Pari Passu Notes Lien Indebtedness or Pari Passu ABL Lien Indebtedness, as the case may be, was issued or borrowed in compliance with the ABL Credit Agreement and the Notes Documents, and no Opinion of Counsel shall be required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Holders of the Notes shall be deemed to have consented for purposes of this Indenture, the Security Documents and the Intercreditor Agreement to the execution and delivery by the Trustee and Collateral Agent of an Other Intercreditor Agreement to the extent it is approved by the ABL Collateral Agent or, if the ABL Credit Agreement has been replaced, any other agent for the holders of ABL Obligations. </w:t>
      </w:r>
    </w:p>
    <w:p>
      <w:pPr>
        <w:pStyle w:val="TextBody"/>
        <w:bidi w:val="0"/>
        <w:spacing w:before="240" w:after="0"/>
        <w:jc w:val="left"/>
        <w:rPr>
          <w:rFonts w:ascii="Times New Roman" w:hAnsi="Times New Roman"/>
          <w:sz w:val="20"/>
        </w:rPr>
      </w:pPr>
      <w:r>
        <w:rPr>
          <w:rFonts w:ascii="Times New Roman" w:hAnsi="Times New Roman"/>
          <w:sz w:val="20"/>
        </w:rPr>
        <w:t xml:space="preserve">(e) After an amendment under this Indenture, the Security Documents or the Intercreditor Agreement becomes effective, the Issuer shall deliver to Holders of the Notes a notice briefly describing such amendment. However, the failure to give such notice to all Holders, or any defect therein, will not impair or affect the validity of the amendment. Disclosure of any such amendment in a filing made with the SEC shall constitute delivery to Holders of the Notes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sz w:val="20"/>
          <w:u w:val="single"/>
        </w:rPr>
        <w:t>With Consent of Holders of Notes</w:t>
      </w:r>
      <w:r>
        <w:rPr>
          <w:rFonts w:ascii="Times New Roman" w:hAnsi="Times New Roman"/>
          <w:sz w:val="20"/>
        </w:rPr>
        <w:t xml:space="preserve">. Except as provided below in this </w:t>
      </w:r>
      <w:r>
        <w:rPr>
          <w:rFonts w:ascii="Times New Roman" w:hAnsi="Times New Roman"/>
          <w:sz w:val="20"/>
          <w:u w:val="single"/>
        </w:rPr>
        <w:t>Section 12.02</w:t>
      </w:r>
      <w:r>
        <w:rPr>
          <w:rFonts w:ascii="Times New Roman" w:hAnsi="Times New Roman"/>
          <w:sz w:val="20"/>
        </w:rPr>
        <w:t>, with the consent of the Controlling Parties (including, without limitation, consents obtained in connection with a purchase of, or tender offer or exchange offer for, the Notes), the Issuer, the Guarantors, the Trustee and the Collateral Agent may amend or supplement this Indenture, the Guarantees, the Notes or the Security Documents or any Intercreditor Agreement (subject to compliance with the ABL/Note Intercreditor Agreement), subject to Section 8</w:t>
      </w:r>
      <w:r>
        <w:rPr>
          <w:rFonts w:ascii="Times New Roman" w:hAnsi="Times New Roman"/>
          <w:sz w:val="20"/>
          <w:u w:val="single"/>
        </w:rPr>
        <w:t>.06</w:t>
      </w:r>
      <w:r>
        <w:rPr>
          <w:rFonts w:ascii="Times New Roman" w:hAnsi="Times New Roman"/>
          <w:sz w:val="20"/>
        </w:rPr>
        <w:t xml:space="preserve">, waive any existing Default or Event of Default or compliance with any provision of this Indenture, the Notes, the Guarantees or the Security Documents (subject to compliance with the Intercreditor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amendment, supplement or waiver shall, without the consent of the Holder of each outstanding Note affected thereby (including, without limitation, consents obtained in connection with a purchase of, or tender offer or exchange offer for, the Notes): </w:t>
      </w:r>
    </w:p>
    <w:p>
      <w:pPr>
        <w:pStyle w:val="TextBody"/>
        <w:bidi w:val="0"/>
        <w:spacing w:before="240" w:after="0"/>
        <w:jc w:val="left"/>
        <w:rPr>
          <w:rFonts w:ascii="Times New Roman" w:hAnsi="Times New Roman"/>
          <w:sz w:val="20"/>
        </w:rPr>
      </w:pPr>
      <w:r>
        <w:rPr>
          <w:rFonts w:ascii="Times New Roman" w:hAnsi="Times New Roman"/>
          <w:sz w:val="20"/>
        </w:rPr>
        <w:t xml:space="preserve">(a) reduce, or change the maturity of, the principal of any Note; </w:t>
      </w:r>
    </w:p>
    <w:p>
      <w:pPr>
        <w:pStyle w:val="TextBody"/>
        <w:bidi w:val="0"/>
        <w:spacing w:before="240" w:after="0"/>
        <w:jc w:val="left"/>
        <w:rPr>
          <w:rFonts w:ascii="Times New Roman" w:hAnsi="Times New Roman"/>
          <w:sz w:val="20"/>
        </w:rPr>
      </w:pPr>
      <w:r>
        <w:rPr>
          <w:rFonts w:ascii="Times New Roman" w:hAnsi="Times New Roman"/>
          <w:sz w:val="20"/>
        </w:rPr>
        <w:t xml:space="preserve">(b) reduce the rate of or extend the time for payment of interest on any Note; </w:t>
      </w:r>
    </w:p>
    <w:p>
      <w:pPr>
        <w:pStyle w:val="TextBody"/>
        <w:bidi w:val="0"/>
        <w:spacing w:before="240" w:after="0"/>
        <w:jc w:val="left"/>
        <w:rPr>
          <w:rFonts w:ascii="Times New Roman" w:hAnsi="Times New Roman"/>
          <w:sz w:val="20"/>
        </w:rPr>
      </w:pPr>
      <w:r>
        <w:rPr>
          <w:rFonts w:ascii="Times New Roman" w:hAnsi="Times New Roman"/>
          <w:sz w:val="20"/>
        </w:rPr>
        <w:t xml:space="preserve">(c) reduce any premium payable upon redemption of the Notes or change the date on which any Notes are subject to redemption (other than the notice provisions) or waive any payment with respect to the redemption of the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solely for the avoidance of doubt, and without any other implication, any purchase or repurchase of Notes (including pursuant to </w:t>
      </w:r>
      <w:r>
        <w:rPr>
          <w:rFonts w:ascii="Times New Roman" w:hAnsi="Times New Roman"/>
          <w:sz w:val="20"/>
          <w:u w:val="single"/>
        </w:rPr>
        <w:t>Section 3.08</w:t>
      </w:r>
      <w:r>
        <w:rPr>
          <w:rFonts w:ascii="Times New Roman" w:hAnsi="Times New Roman"/>
          <w:sz w:val="20"/>
        </w:rPr>
        <w:t xml:space="preserve"> and </w:t>
      </w:r>
      <w:r>
        <w:rPr>
          <w:rFonts w:ascii="Times New Roman" w:hAnsi="Times New Roman"/>
          <w:sz w:val="20"/>
          <w:u w:val="single"/>
        </w:rPr>
        <w:t>Section 3.09</w:t>
      </w:r>
      <w:r>
        <w:rPr>
          <w:rFonts w:ascii="Times New Roman" w:hAnsi="Times New Roman"/>
          <w:sz w:val="20"/>
        </w:rPr>
        <w:t xml:space="preserve">) shall not be deemed a redemption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(d) make any Note payable in money or currency other than that stated in the Notes; </w:t>
      </w:r>
    </w:p>
    <w:p>
      <w:pPr>
        <w:pStyle w:val="TextBody"/>
        <w:bidi w:val="0"/>
        <w:spacing w:before="240" w:after="0"/>
        <w:jc w:val="left"/>
        <w:rPr>
          <w:rFonts w:ascii="Times New Roman" w:hAnsi="Times New Roman"/>
          <w:sz w:val="20"/>
        </w:rPr>
      </w:pPr>
      <w:r>
        <w:rPr>
          <w:rFonts w:ascii="Times New Roman" w:hAnsi="Times New Roman"/>
          <w:sz w:val="20"/>
        </w:rPr>
        <w:t xml:space="preserve">(e) modify or change any provision of this Indenture or the related definitions to affect the ranking of the Notes or any Guarantee in a manner that adversely affects the Holders; </w:t>
      </w:r>
    </w:p>
    <w:p>
      <w:pPr>
        <w:pStyle w:val="TextBody"/>
        <w:bidi w:val="0"/>
        <w:spacing w:before="240" w:after="0"/>
        <w:jc w:val="left"/>
        <w:rPr>
          <w:rFonts w:ascii="Times New Roman" w:hAnsi="Times New Roman"/>
          <w:sz w:val="20"/>
        </w:rPr>
      </w:pPr>
      <w:r>
        <w:rPr>
          <w:rFonts w:ascii="Times New Roman" w:hAnsi="Times New Roman"/>
          <w:sz w:val="20"/>
        </w:rPr>
        <w:t xml:space="preserve">(f) reduce the percentage of Holders necessary to consent to an amendment or waiver to this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(g) waive a Default or Event of Default in the payment of principal of or premium or interest, if any, on any Notes (except a rescission of acceleration of the Notes by the Holders thereof as provided in this Indenture and a waiver of the payment default with respect to the Notes that resulted from such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modify the contractual rights of Holders to receive payments of principal of, or premium or interest, if any, on the Notes on or after the due date therefor or to institute suit for the enforcement of any payment on the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solely for the avoidance of doubt, and without any other implication, this provision is not impacted by changes or amendments to </w:t>
      </w:r>
      <w:r>
        <w:rPr>
          <w:rFonts w:ascii="Times New Roman" w:hAnsi="Times New Roman"/>
          <w:sz w:val="20"/>
          <w:u w:val="single"/>
        </w:rPr>
        <w:t>Section 3.09</w:t>
      </w:r>
      <w:r>
        <w:rPr>
          <w:rFonts w:ascii="Times New Roman" w:hAnsi="Times New Roman"/>
          <w:sz w:val="20"/>
        </w:rPr>
        <w:t xml:space="preserve"> or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release any Guarantor from any of its obligations under its Guarantee or this Indenture, except as permitted by this Indenture; or </w:t>
      </w:r>
    </w:p>
    <w:p>
      <w:pPr>
        <w:pStyle w:val="TextBody"/>
        <w:bidi w:val="0"/>
        <w:spacing w:before="240" w:after="0"/>
        <w:jc w:val="left"/>
        <w:rPr>
          <w:rFonts w:ascii="Times New Roman" w:hAnsi="Times New Roman"/>
          <w:sz w:val="20"/>
        </w:rPr>
      </w:pPr>
      <w:r>
        <w:rPr>
          <w:rFonts w:ascii="Times New Roman" w:hAnsi="Times New Roman"/>
          <w:sz w:val="20"/>
        </w:rPr>
        <w:t xml:space="preserve">(j) make any change in these amendment and waiver provisions.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without the consent of Holders of 100% of the principal amount of the Notes then outstanding (including, without limitation, consents obtained in connection with a purchase of, or tender offer or exchange offer for, the Notes), no amendment, supplement or waiver may amend any of the Security Documents or this Indenture if such amendment, supplement or waiver has the effect of (x) releasing all or substantially all of the Collateral from the Liens of this Indenture or any Security Document or (y) subordinating the Liens of this Indenture or any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under this </w:t>
      </w:r>
      <w:r>
        <w:rPr>
          <w:rFonts w:ascii="Times New Roman" w:hAnsi="Times New Roman"/>
          <w:sz w:val="20"/>
          <w:u w:val="single"/>
        </w:rPr>
        <w:t>Section 12.02</w:t>
      </w:r>
      <w:r>
        <w:rPr>
          <w:rFonts w:ascii="Times New Roman" w:hAnsi="Times New Roman"/>
          <w:sz w:val="20"/>
        </w:rPr>
        <w:t xml:space="preserve"> to approve the particular form of any proposed amendment or waiver, but it shall be sufficient if such consent approves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sz w:val="20"/>
          <w:u w:val="single"/>
        </w:rPr>
        <w:t>Revocation and Effect of Consents</w:t>
      </w:r>
      <w:r>
        <w:rPr>
          <w:rFonts w:ascii="Times New Roman" w:hAnsi="Times New Roman"/>
          <w:sz w:val="20"/>
        </w:rPr>
        <w:t xml:space="preserve">. Until an amendment, supplement or waiver becomes effective, a consent to it by a Holder of a Note is a continuing consent by the Holder and every subsequent Holder of that Note or portion of the Note that evidences the same debt as the consenting Holder’s Note, even if notation of the consent is not made on the Note. However, any such Holder or subsequent Holder may revoke the consent as to its Note if the Trustee receives written notice of revocation before the date the waiver, supplement or amendment becomes effective. When an amendment, supplement or waiver becomes effective in accordance with its terms, this Indenture shall be modified in accordance therewith, and such amendment, supplement or waiver shall form a part of this Indenture for all purposes, and it thereafter binds every Holder. The Issuer may, but shall not be obligated to, fix a record date for determining which Holders consent to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12.04 </w:t>
      </w:r>
      <w:r>
        <w:rPr>
          <w:rFonts w:ascii="Times New Roman" w:hAnsi="Times New Roman"/>
          <w:sz w:val="20"/>
          <w:u w:val="single"/>
        </w:rPr>
        <w:t>Notation on or Exchange of Notes</w:t>
      </w:r>
      <w:r>
        <w:rPr>
          <w:rFonts w:ascii="Times New Roman" w:hAnsi="Times New Roman"/>
          <w:sz w:val="20"/>
        </w:rPr>
        <w:t xml:space="preserve">. The Trustee may place an appropriate notation about an amendment, supplement or waiver on any Note thereafter authenticated. The Issuer in exchange for all Notes may issue and the Trustee shall authenticate new Notes that reflect the amendment, supplement or waiver. Failure to make the appropriate notation or issue a new Note shall not affect the validity and effect of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12.05 </w:t>
      </w:r>
      <w:r>
        <w:rPr>
          <w:rFonts w:ascii="Times New Roman" w:hAnsi="Times New Roman"/>
          <w:sz w:val="20"/>
          <w:u w:val="single"/>
        </w:rPr>
        <w:t>Trustee to Sign Amendments, Etc</w:t>
      </w:r>
      <w:r>
        <w:rPr>
          <w:rFonts w:ascii="Times New Roman" w:hAnsi="Times New Roman"/>
          <w:sz w:val="20"/>
        </w:rPr>
        <w:t xml:space="preserve">. The Trustee, the Collateral Agent and the Calculation Agent, as applicable, shall sign any amended or supplemental indenture or other amendment authorized pursuant to this Article XII if the amendment or supplement does not adversely affect the rights, duties, liabilities or immunities of the Trustee, Collateral Agent or the Calculation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12.06 </w:t>
      </w:r>
      <w:r>
        <w:rPr>
          <w:rFonts w:ascii="Times New Roman" w:hAnsi="Times New Roman"/>
          <w:sz w:val="20"/>
          <w:u w:val="single"/>
        </w:rPr>
        <w:t>Officer’s Certificate and Opinion of Counsel</w:t>
      </w:r>
      <w:r>
        <w:rPr>
          <w:rFonts w:ascii="Times New Roman" w:hAnsi="Times New Roman"/>
          <w:sz w:val="20"/>
        </w:rPr>
        <w:t>. In connection with any amendment, supplement, or waiver, in signing or refusing to sign any such amendment, supplement or waiver the Trustee and the Collateral Agent or the Calculation Agent (as applicable) shall be entitled to receive (and, subject to Section 9.01, shall be fully protected in relying upon) an Officer’s Certificate and an Opinion of Counsel, each stating that all conditions precedent to such amendment, supplement or waiver have been satisfied, that such amendment, supplement or waiver is authorized or permitted by this Indenture and the Security Documents, as applicable, and, with respect to such Opinion of Counsel, that such amendment, supplement or waiver is the legal, valid and binding obligation of the parties thereto, enforceable against it in accordance with its terms. Notwithstanding the foregoing, no Opinion of Counsel or board resolution shall be required in connection with the addition of a Guarantor under this Indenture upon execution and delivery by such Guarantor and the Trustee of a supplemental indenture to this Indenture, the form of which is attached as</w:t>
      </w:r>
      <w:r>
        <w:rPr>
          <w:rFonts w:ascii="Times New Roman" w:hAnsi="Times New Roman"/>
          <w:sz w:val="20"/>
          <w:u w:val="single"/>
        </w:rPr>
        <w:t> Exhibit F</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Concerning the Trust Indenture Act</w:t>
      </w:r>
      <w:r>
        <w:rPr>
          <w:rFonts w:ascii="Times New Roman" w:hAnsi="Times New Roman"/>
          <w:sz w:val="20"/>
        </w:rPr>
        <w:t xml:space="preserve">. The Trust Indenture Act of 1939, as amended, shall not be applicable to, and shall not govern, this Indenture, the Notes or the 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Notices</w:t>
      </w:r>
      <w:r>
        <w:rPr>
          <w:rFonts w:ascii="Times New Roman" w:hAnsi="Times New Roman"/>
          <w:sz w:val="20"/>
        </w:rPr>
        <w:t xml:space="preserve">. Any notice, request, direction, instruction or communication by the Issuer, any Guarantor, the Trustee or the Collateral Agent to the others is duly given if in writing and delivered in person or mailed by first class mail (registered or certified, return receipt requested), telecopier or overnight air courier guaranteeing next day delivery, to the addresses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If to the Issuer or any Guarantor: </w:t>
      </w:r>
    </w:p>
    <w:p>
      <w:pPr>
        <w:pStyle w:val="TextBody"/>
        <w:bidi w:val="0"/>
        <w:spacing w:before="120" w:after="0"/>
        <w:jc w:val="left"/>
        <w:rPr>
          <w:rFonts w:ascii="Times New Roman" w:hAnsi="Times New Roman"/>
          <w:sz w:val="20"/>
        </w:rPr>
      </w:pPr>
      <w:r>
        <w:rPr>
          <w:rFonts w:ascii="Times New Roman" w:hAnsi="Times New Roman"/>
          <w:sz w:val="20"/>
        </w:rPr>
        <w:t xml:space="preserve">KLX Energy Services Holdings, Inc. </w:t>
      </w:r>
    </w:p>
    <w:p>
      <w:pPr>
        <w:pStyle w:val="TextBody"/>
        <w:bidi w:val="0"/>
        <w:spacing w:before="0" w:after="0"/>
        <w:jc w:val="left"/>
        <w:rPr>
          <w:rFonts w:ascii="Times New Roman" w:hAnsi="Times New Roman"/>
          <w:sz w:val="20"/>
        </w:rPr>
      </w:pPr>
      <w:r>
        <w:rPr>
          <w:rFonts w:ascii="Times New Roman" w:hAnsi="Times New Roman"/>
          <w:sz w:val="20"/>
        </w:rPr>
        <w:t xml:space="preserve">3040 Post Oak Blvd, Suite 1500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77056 </w:t>
      </w:r>
    </w:p>
    <w:p>
      <w:pPr>
        <w:pStyle w:val="TextBody"/>
        <w:bidi w:val="0"/>
        <w:spacing w:before="0" w:after="0"/>
        <w:jc w:val="left"/>
        <w:rPr>
          <w:rFonts w:ascii="Times New Roman" w:hAnsi="Times New Roman"/>
          <w:sz w:val="20"/>
        </w:rPr>
      </w:pPr>
      <w:r>
        <w:rPr>
          <w:rFonts w:ascii="Times New Roman" w:hAnsi="Times New Roman"/>
          <w:sz w:val="20"/>
        </w:rPr>
        <w:t xml:space="preserve">Attention: Max Bouthillette,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Vinson &amp; Elkins LLP </w:t>
      </w:r>
    </w:p>
    <w:p>
      <w:pPr>
        <w:pStyle w:val="TextBody"/>
        <w:bidi w:val="0"/>
        <w:spacing w:before="0" w:after="0"/>
        <w:jc w:val="left"/>
        <w:rPr>
          <w:rFonts w:ascii="Times New Roman" w:hAnsi="Times New Roman"/>
          <w:sz w:val="20"/>
        </w:rPr>
      </w:pPr>
      <w:r>
        <w:rPr>
          <w:rFonts w:ascii="Times New Roman" w:hAnsi="Times New Roman"/>
          <w:sz w:val="20"/>
        </w:rPr>
        <w:t xml:space="preserve">First Avenue Plaza </w:t>
      </w:r>
    </w:p>
    <w:p>
      <w:pPr>
        <w:pStyle w:val="TextBody"/>
        <w:bidi w:val="0"/>
        <w:spacing w:before="0" w:after="0"/>
        <w:jc w:val="left"/>
        <w:rPr>
          <w:rFonts w:ascii="Times New Roman" w:hAnsi="Times New Roman"/>
          <w:sz w:val="20"/>
        </w:rPr>
      </w:pPr>
      <w:r>
        <w:rPr>
          <w:rFonts w:ascii="Times New Roman" w:hAnsi="Times New Roman"/>
          <w:sz w:val="20"/>
        </w:rPr>
        <w:t xml:space="preserve">44 Cook Street </w:t>
      </w:r>
    </w:p>
    <w:p>
      <w:pPr>
        <w:pStyle w:val="TextBody"/>
        <w:bidi w:val="0"/>
        <w:spacing w:before="0" w:after="0"/>
        <w:jc w:val="left"/>
        <w:rPr>
          <w:rFonts w:ascii="Times New Roman" w:hAnsi="Times New Roman"/>
          <w:sz w:val="20"/>
        </w:rPr>
      </w:pPr>
      <w:r>
        <w:rPr>
          <w:rFonts w:ascii="Times New Roman" w:hAnsi="Times New Roman"/>
          <w:sz w:val="20"/>
        </w:rPr>
        <w:t xml:space="preserve">Suite 320 </w:t>
      </w:r>
    </w:p>
    <w:p>
      <w:pPr>
        <w:pStyle w:val="TextBody"/>
        <w:bidi w:val="0"/>
        <w:spacing w:before="0" w:after="0"/>
        <w:jc w:val="left"/>
        <w:rPr>
          <w:rFonts w:ascii="Times New Roman" w:hAnsi="Times New Roman"/>
          <w:sz w:val="20"/>
        </w:rPr>
      </w:pPr>
      <w:r>
        <w:rPr>
          <w:rFonts w:ascii="Times New Roman" w:hAnsi="Times New Roman"/>
          <w:sz w:val="20"/>
        </w:rPr>
        <w:t xml:space="preserve">Denver, CO 80206 </w:t>
      </w:r>
    </w:p>
    <w:p>
      <w:pPr>
        <w:pStyle w:val="TextBody"/>
        <w:bidi w:val="0"/>
        <w:spacing w:before="0" w:after="0"/>
        <w:jc w:val="left"/>
        <w:rPr>
          <w:rFonts w:ascii="Times New Roman" w:hAnsi="Times New Roman"/>
          <w:sz w:val="20"/>
        </w:rPr>
      </w:pPr>
      <w:r>
        <w:rPr>
          <w:rFonts w:ascii="Times New Roman" w:hAnsi="Times New Roman"/>
          <w:sz w:val="20"/>
        </w:rPr>
        <w:t xml:space="preserve">Attention: Sarah Morgan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Vinson &amp; Elkins LLP </w:t>
      </w:r>
    </w:p>
    <w:p>
      <w:pPr>
        <w:pStyle w:val="TextBody"/>
        <w:bidi w:val="0"/>
        <w:spacing w:before="0" w:after="0"/>
        <w:jc w:val="left"/>
        <w:rPr>
          <w:rFonts w:ascii="Times New Roman" w:hAnsi="Times New Roman"/>
          <w:sz w:val="20"/>
        </w:rPr>
      </w:pPr>
      <w:r>
        <w:rPr>
          <w:rFonts w:ascii="Times New Roman" w:hAnsi="Times New Roman"/>
          <w:sz w:val="20"/>
        </w:rPr>
        <w:t xml:space="preserve">2001 Ross Avenue </w:t>
      </w:r>
    </w:p>
    <w:p>
      <w:pPr>
        <w:pStyle w:val="TextBody"/>
        <w:bidi w:val="0"/>
        <w:spacing w:before="0" w:after="0"/>
        <w:jc w:val="left"/>
        <w:rPr>
          <w:rFonts w:ascii="Times New Roman" w:hAnsi="Times New Roman"/>
          <w:sz w:val="20"/>
        </w:rPr>
      </w:pPr>
      <w:r>
        <w:rPr>
          <w:rFonts w:ascii="Times New Roman" w:hAnsi="Times New Roman"/>
          <w:sz w:val="20"/>
        </w:rPr>
        <w:t xml:space="preserve">Suite 3900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75201 </w:t>
      </w:r>
    </w:p>
    <w:p>
      <w:pPr>
        <w:pStyle w:val="TextBody"/>
        <w:bidi w:val="0"/>
        <w:spacing w:before="0" w:after="0"/>
        <w:jc w:val="left"/>
        <w:rPr>
          <w:rFonts w:ascii="Times New Roman" w:hAnsi="Times New Roman"/>
          <w:sz w:val="20"/>
        </w:rPr>
      </w:pPr>
      <w:r>
        <w:rPr>
          <w:rFonts w:ascii="Times New Roman" w:hAnsi="Times New Roman"/>
          <w:sz w:val="20"/>
        </w:rPr>
        <w:t xml:space="preserve">Attention: Katherine Frank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Vinson &amp; Elkins LLP </w:t>
      </w:r>
    </w:p>
    <w:p>
      <w:pPr>
        <w:pStyle w:val="TextBody"/>
        <w:bidi w:val="0"/>
        <w:spacing w:before="0" w:after="0"/>
        <w:jc w:val="left"/>
        <w:rPr>
          <w:rFonts w:ascii="Times New Roman" w:hAnsi="Times New Roman"/>
          <w:sz w:val="20"/>
        </w:rPr>
      </w:pPr>
      <w:r>
        <w:rPr>
          <w:rFonts w:ascii="Times New Roman" w:hAnsi="Times New Roman"/>
          <w:sz w:val="20"/>
        </w:rPr>
        <w:t xml:space="preserve">1114 6th Ave, 32nd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Attention: Ben Heriaud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Trustee, the Collateral Agent or the Calculation Agent: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333 Commerce Street, Suite 900 </w:t>
      </w:r>
    </w:p>
    <w:p>
      <w:pPr>
        <w:pStyle w:val="TextBody"/>
        <w:bidi w:val="0"/>
        <w:spacing w:before="0" w:after="0"/>
        <w:jc w:val="left"/>
        <w:rPr>
          <w:rFonts w:ascii="Times New Roman" w:hAnsi="Times New Roman"/>
          <w:sz w:val="20"/>
        </w:rPr>
      </w:pPr>
      <w:r>
        <w:rPr>
          <w:rFonts w:ascii="Times New Roman" w:hAnsi="Times New Roman"/>
          <w:sz w:val="20"/>
        </w:rPr>
        <w:t xml:space="preserve">Nashville, Tennessee 37201 </w:t>
      </w:r>
    </w:p>
    <w:p>
      <w:pPr>
        <w:pStyle w:val="TextBody"/>
        <w:bidi w:val="0"/>
        <w:spacing w:before="0" w:after="0"/>
        <w:jc w:val="left"/>
        <w:rPr>
          <w:rFonts w:ascii="Times New Roman" w:hAnsi="Times New Roman"/>
          <w:sz w:val="20"/>
        </w:rPr>
      </w:pPr>
      <w:r>
        <w:rPr>
          <w:rFonts w:ascii="Times New Roman" w:hAnsi="Times New Roman"/>
          <w:sz w:val="20"/>
        </w:rPr>
        <w:t xml:space="preserve">Attention: Wally Jones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by written notice to the others,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and the Trustee, the Collateral Agent and the Calculation Agent) shall be deemed to have been duly given: at the time delivered by hand, if personally delivered; five (5) Business Days after being deposited in the mail, postage prepaid, if mailed; when receipt acknowledged, if telecopied; and the next Business Day after timely delivery to the courier, if sent by overnight air courier promising next Business Day delivery.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Holder and the Trustee, the Collateral Agent or the Calculation Agent shall be mailed by first class mail or by overnight air courier promising next Business Day delivery to its address shown on the register kept by the Registrar. Notwithstanding the foregoing, as long as the Notes are Global Notes, notices to be given to the Holders shall be given to the Depositary, in accordance with its applicable policies as in effect from time to time. Failure to mail a notice or communication to a Holder or any defect in it shall not affect its sufficiency with respect to other Holders. Any notice mailed or delivered to a Holder in the aforesaid manner shall be conclusively deemed to have been received by such Holder, whether or not such Holder actually receives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liability, costs or expenses incurred or sustained by any party as a result of such reliance upon or compliance with such instructions, directions, reports, notices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communications or information. Each other party agrees to assume all risks arising out of the use of electronic methods to submit instructions, directions, reports, notices or other communications or indemnifications to the Trustee, including without limitation the risk of the Trustee acting on unauthorized instructions, notices, reports or other communications or information, and the risks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delivered in the manner provided above within the time prescribed, it is duly given, whether or not the addressee receives it, except in the case of notices or communications given to the Trustee, the Collateral Agent or the Calculation Agent which shall be effective only upon actual receipt. </w:t>
      </w:r>
    </w:p>
    <w:p>
      <w:pPr>
        <w:pStyle w:val="TextBody"/>
        <w:bidi w:val="0"/>
        <w:spacing w:before="240" w:after="0"/>
        <w:jc w:val="left"/>
        <w:rPr>
          <w:rFonts w:ascii="Times New Roman" w:hAnsi="Times New Roman"/>
          <w:sz w:val="20"/>
        </w:rPr>
      </w:pPr>
      <w:r>
        <w:rPr>
          <w:rFonts w:ascii="Times New Roman" w:hAnsi="Times New Roman"/>
          <w:sz w:val="20"/>
        </w:rPr>
        <w:t xml:space="preserve">If the Issuer delivers a notice or communication to Holders, it shall mail a copy to the Trustee and the Collateral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or irregularities in regular mail service or by reason of any other cause, it shall be impractical to mail notice of any event to Holders of Notes when such notice is required to be given pursuant to any provision of this Indenture, then any manner of giving such notice as shall be reasonably satisfactory to the Trustee shall be deemed to be sufficient giving of such notice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or waiver required or permitted under this Indenture shall be in the English language, except that any published notice may be in an official language of the country of publication. </w:t>
      </w:r>
    </w:p>
    <w:p>
      <w:pPr>
        <w:pStyle w:val="TextBody"/>
        <w:bidi w:val="0"/>
        <w:spacing w:before="240" w:after="0"/>
        <w:jc w:val="left"/>
        <w:rPr>
          <w:rFonts w:ascii="Times New Roman" w:hAnsi="Times New Roman"/>
          <w:sz w:val="20"/>
        </w:rPr>
      </w:pPr>
      <w:r>
        <w:rPr>
          <w:rFonts w:ascii="Times New Roman" w:hAnsi="Times New Roman"/>
          <w:sz w:val="20"/>
        </w:rPr>
        <w:t xml:space="preserve">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Certificate and Opinion as to Conditions Precedent</w:t>
      </w:r>
      <w:r>
        <w:rPr>
          <w:rFonts w:ascii="Times New Roman" w:hAnsi="Times New Roman"/>
          <w:sz w:val="20"/>
        </w:rPr>
        <w:t xml:space="preserve">. Upon any request or application by the Issuer to the Trustee to take any action under this Indenture (other than, with respect to paragraph (b) below, in connection with the issuance of the Initial Notes), the Issuer shall furnish to the Trustee upon request: </w:t>
      </w:r>
    </w:p>
    <w:p>
      <w:pPr>
        <w:pStyle w:val="TextBody"/>
        <w:bidi w:val="0"/>
        <w:spacing w:before="240" w:after="0"/>
        <w:jc w:val="left"/>
        <w:rPr>
          <w:rFonts w:ascii="Times New Roman" w:hAnsi="Times New Roman"/>
          <w:sz w:val="20"/>
        </w:rPr>
      </w:pPr>
      <w:r>
        <w:rPr>
          <w:rFonts w:ascii="Times New Roman" w:hAnsi="Times New Roman"/>
          <w:sz w:val="20"/>
        </w:rPr>
        <w:t xml:space="preserve">(a) an Officer’s Certificate (which shall include the statements set forth in </w:t>
      </w:r>
      <w:r>
        <w:rPr>
          <w:rFonts w:ascii="Times New Roman" w:hAnsi="Times New Roman"/>
          <w:sz w:val="20"/>
          <w:u w:val="single"/>
        </w:rPr>
        <w:t>Section 13.04</w:t>
      </w:r>
      <w:r>
        <w:rPr>
          <w:rFonts w:ascii="Times New Roman" w:hAnsi="Times New Roman"/>
          <w:sz w:val="20"/>
        </w:rPr>
        <w:t xml:space="preserve">) stating that, in the opinion of the signer, all conditions precedent and covenants, if any, provided for in this Indenture relating to the proposed action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(b) an Opinion of Counsel (which shall include the statements set forth in </w:t>
      </w:r>
      <w:r>
        <w:rPr>
          <w:rFonts w:ascii="Times New Roman" w:hAnsi="Times New Roman"/>
          <w:sz w:val="20"/>
          <w:u w:val="single"/>
        </w:rPr>
        <w:t>Section 13.04</w:t>
      </w:r>
      <w:r>
        <w:rPr>
          <w:rFonts w:ascii="Times New Roman" w:hAnsi="Times New Roman"/>
          <w:sz w:val="20"/>
        </w:rPr>
        <w:t xml:space="preserve">) stating that, in the opinion of such counsel, all such conditions precedent and covenants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application or request as to which the furnishing of other specified documents is specifically required by any provision of this Indenture relating to such particular application or request, no additional Officer’s Certificate or Opinion of Counsel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Statements Required in Certificate or Opinion</w:t>
      </w:r>
      <w:r>
        <w:rPr>
          <w:rFonts w:ascii="Times New Roman" w:hAnsi="Times New Roman"/>
          <w:sz w:val="20"/>
        </w:rPr>
        <w:t xml:space="preserve">. Each certificate or opinion with respect to compliance with a condition or covenant provided for in this Indenture (other than any certificate required by Section 5.03(c) or Section 10.06 hereof) shall include substantially: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 statement that the Person making such certificate or opinion has read and understands such covenant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in the opinion of such Person, he or she has made such examination or investigation as is necessary to enable him to express an informed opinion as to whether or not such covenant or condition has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Person may certify or give an opinion with respect to some matters and one or more other Persons as to other matters, and any one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 </w:t>
      </w:r>
    </w:p>
    <w:p>
      <w:pPr>
        <w:pStyle w:val="TextBody"/>
        <w:bidi w:val="0"/>
        <w:spacing w:before="24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Rules by Trustee and Agents</w:t>
      </w:r>
      <w:r>
        <w:rPr>
          <w:rFonts w:ascii="Times New Roman" w:hAnsi="Times New Roman"/>
          <w:sz w:val="20"/>
        </w:rPr>
        <w:t xml:space="preserve">. The Trustee may make reasonable rules for action by or at a meeting of Holders. Each of the Agents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sz w:val="20"/>
          <w:u w:val="single"/>
        </w:rPr>
        <w:t>No Personal Liability of Directors, Officers, Employees and Stockholders</w:t>
      </w:r>
      <w:r>
        <w:rPr>
          <w:rFonts w:ascii="Times New Roman" w:hAnsi="Times New Roman"/>
          <w:sz w:val="20"/>
        </w:rPr>
        <w:t xml:space="preserve">. No director, officer, employee, incorporator, partner, member or stockholder of the Issuer or any Guarantor, as such, will have any liability for any indebtedness, obligations or liabilities of the Issuer under the Notes or this Indenture, of any Guarantor under its Guarantee or of the Issuer or any Guarantor under the Intercreditor Agreement or the Security Documents or for any claim based on, in respect of, or by reason of, such obligations or their creation. Each Holder by accepting a Note waives and releases all such liability. The waiver and release are part of the consideration for issuance of the Notes and the Guarantees.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13.07 </w:t>
      </w:r>
      <w:r>
        <w:rPr>
          <w:rFonts w:ascii="Times New Roman" w:hAnsi="Times New Roman"/>
          <w:sz w:val="20"/>
          <w:u w:val="single"/>
        </w:rPr>
        <w:t>Governing Law; Consent to Jurisdiction; Waiver of Jury Trial</w:t>
      </w:r>
      <w:r>
        <w:rPr>
          <w:rFonts w:ascii="Times New Roman" w:hAnsi="Times New Roman"/>
          <w:sz w:val="20"/>
        </w:rPr>
        <w:t xml:space="preserve">. THE LAW OF THE STATE OF NEW YORK SHALL GOVERN AND BE USED TO CONSTRUE THIS INDENTURE, THE NOTES AND THE GUARANTEES. Each of the parties to this Indenture each hereby irrevocably submits to the non-exclusive jurisdiction of any New York State or federal court sitting in the Borough of Manhattan in The City of New York in any action or proceeding arising out of or relating to the Notes, the Guarantees, this Indenture or the Security Documents, and all such parties hereby irrevocably agree that all claims in respect of such action or proceeding may be heard and determined in such New York State or federal court and hereby irrevocably waive, to the fullest extent that they may legally do so, the defense of an inconvenient forum to the maintenance of such action or proceeding. EACH PARTY HERETO HEREBY (AND EACH HOLDER, BY THEIR ACCEPTANCE OF THE NOTES THEREBY) WAIVES, TO THE FULLEST EXTENT PERMITTED BY APPLICABLE REQUIREMENTS OF LAW, ANY RIGHT IT MAY HAVE TO A TRIAL BY JURY IN ANY LEGAL PROCEEDING DIRECTLY OR INDIRECTLY ARISING OUT OF OR RELATING TO THIS INDENTURE,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INDENTURE BY, AMONG OTHER THINGS, THE MUTUAL WAIVERS AND CERTIFICATIONS IN THIS </w:t>
      </w:r>
      <w:r>
        <w:rPr>
          <w:rFonts w:ascii="Times New Roman" w:hAnsi="Times New Roman"/>
          <w:sz w:val="20"/>
          <w:u w:val="single"/>
        </w:rPr>
        <w:t>SECTION 13.07.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sz w:val="20"/>
          <w:u w:val="single"/>
        </w:rPr>
        <w:t>No Adverse Interpretation of Other Agreements</w:t>
      </w:r>
      <w:r>
        <w:rPr>
          <w:rFonts w:ascii="Times New Roman" w:hAnsi="Times New Roman"/>
          <w:sz w:val="20"/>
        </w:rPr>
        <w:t xml:space="preserve">. This Indenture may not be used to interpret any other indenture, loan agreement or debt agreement of the Issuer or any of its Subsidiaries or of any other Person. Any such indenture, loan agreement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13.09 </w:t>
      </w:r>
      <w:r>
        <w:rPr>
          <w:rFonts w:ascii="Times New Roman" w:hAnsi="Times New Roman"/>
          <w:sz w:val="20"/>
          <w:u w:val="single"/>
        </w:rPr>
        <w:t>Successors</w:t>
      </w:r>
      <w:r>
        <w:rPr>
          <w:rFonts w:ascii="Times New Roman" w:hAnsi="Times New Roman"/>
          <w:sz w:val="20"/>
        </w:rPr>
        <w:t xml:space="preserve">. All agreements of the Issuer and the Guarantors in this Indenture and the Notes and the Guarantees, as applicable, shall bind their respective successors and assigns. All agreements of the Trustee and the Collateral Agent in this Indenture shall bind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Severability</w:t>
      </w:r>
      <w:r>
        <w:rPr>
          <w:rFonts w:ascii="Times New Roman" w:hAnsi="Times New Roman"/>
          <w:sz w:val="20"/>
        </w:rPr>
        <w:t xml:space="preserve">. In case any provision in this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Execution in Counterparts; Electronic Signature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Indenture may be executed in two or more counterparts, which when so executed shall constitute one and the same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words “execute,” “execution,” “signed,” “signature,” and words of like import in or related to any document to be signed in connection with this Indenture and the transactions contemplated hereby shall be deemed to include electronic signatures, the electronic matching of assignment terms and contract formations on electronic platforms approved by the Trustee, or the keeping of records in electronic form, each of which shall be of the same legal effect, validity or enforceability as a manually executed signature or the use of a paper-based recordkeeping system, as the case may be, to the extent and as provided for in any applicable Requirement of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i/>
          <w:sz w:val="20"/>
        </w:rPr>
        <w:t>provided</w:t>
      </w:r>
      <w:r>
        <w:rPr>
          <w:rFonts w:ascii="Times New Roman" w:hAnsi="Times New Roman"/>
          <w:sz w:val="20"/>
        </w:rPr>
        <w:t xml:space="preserve">, that, notwithstanding anything contained herein to the contrary, the Trustee is under no obligation to agree to accept electronic signatures in any form or in any format unless expressly agreed to by the Trustee pursuant to procedures approved by it.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Table of Contents, Headings, Etc</w:t>
      </w:r>
      <w:r>
        <w:rPr>
          <w:rFonts w:ascii="Times New Roman" w:hAnsi="Times New Roman"/>
          <w:sz w:val="20"/>
        </w:rPr>
        <w:t xml:space="preserve">. The Table of Contents and Headings of the Articles and Sections of this Indenture have been inserted for convenience of reference only, are not to be considered a part of this Indenture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13.13 </w:t>
      </w:r>
      <w:r>
        <w:rPr>
          <w:rFonts w:ascii="Times New Roman" w:hAnsi="Times New Roman"/>
          <w:sz w:val="20"/>
          <w:u w:val="single"/>
        </w:rPr>
        <w:t>Force Majeure</w:t>
      </w:r>
      <w:r>
        <w:rPr>
          <w:rFonts w:ascii="Times New Roman" w:hAnsi="Times New Roman"/>
          <w:sz w:val="20"/>
        </w:rPr>
        <w:t xml:space="preserve">. In no event shall the Trustee, the Collateral Agent or any other Agent be responsible or liable for any failure or delay in the performance of its obligations hereunder arising out of or caused by, directly or indirectly, forces beyond its control, including, without limitation, fire, riots, strikes, or stoppages for any reason, embargoes, governmental actions, accidents, acts of war or terrorism, civil or military disturbances, nuclear or natural catastrophes or acts of God, and interruptions, loss or malfunctions of utilities, communications or computer (software and hardware) services, it being understood that the Trustee, the Collateral Agent and each of the Agents shall use reasonable efforts which are consistent with accepted practices in the U.S.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13.14 </w:t>
      </w:r>
      <w:r>
        <w:rPr>
          <w:rFonts w:ascii="Times New Roman" w:hAnsi="Times New Roman"/>
          <w:sz w:val="20"/>
          <w:u w:val="single"/>
        </w:rPr>
        <w:t>Legal Holidays</w:t>
      </w:r>
      <w:r>
        <w:rPr>
          <w:rFonts w:ascii="Times New Roman" w:hAnsi="Times New Roman"/>
          <w:sz w:val="20"/>
        </w:rPr>
        <w:t xml:space="preserve">. If any scheduled payment date with respect to the payment of principal, premium, if any, or interest on the Notes, including, without limitation, any Interest Payment Date, redemption date, stated maturity or maturity date, falls on a day that is not a Business Day, then notwithstanding any other provision of this Indenture or of the Notes, the payment to be made on such payment date will be made on the next succeeding Business Day with the same force and effect as if made on such payment date, and no additional interest will accrue solely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13.15 </w:t>
      </w:r>
      <w:r>
        <w:rPr>
          <w:rFonts w:ascii="Times New Roman" w:hAnsi="Times New Roman"/>
          <w:sz w:val="20"/>
          <w:u w:val="single"/>
        </w:rPr>
        <w:t>Benefit of the Indenture</w:t>
      </w:r>
      <w:r>
        <w:rPr>
          <w:rFonts w:ascii="Times New Roman" w:hAnsi="Times New Roman"/>
          <w:sz w:val="20"/>
        </w:rPr>
        <w:t xml:space="preserve">. Nothing in this Indenture or in the Notes, express or implied, shall give to any Person, other than the parties hereto, any Authenticating Agent, any Paying Agent, any Registrar and their successors hereunder and the Holders of Notes,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13.16 </w:t>
      </w:r>
      <w:r>
        <w:rPr>
          <w:rFonts w:ascii="Times New Roman" w:hAnsi="Times New Roman"/>
          <w:sz w:val="20"/>
          <w:u w:val="single"/>
        </w:rPr>
        <w:t>Controlling Party</w:t>
      </w:r>
      <w:r>
        <w:rPr>
          <w:rFonts w:ascii="Times New Roman" w:hAnsi="Times New Roman"/>
          <w:sz w:val="20"/>
        </w:rPr>
        <w:t xml:space="preserve">. Notwithstanding or anything else in this Indenture (including, without limitation, </w:t>
      </w:r>
      <w:r>
        <w:rPr>
          <w:rFonts w:ascii="Times New Roman" w:hAnsi="Times New Roman"/>
          <w:sz w:val="20"/>
          <w:u w:val="single"/>
        </w:rPr>
        <w:t>Section 13.02</w:t>
      </w:r>
      <w:r>
        <w:rPr>
          <w:rFonts w:ascii="Times New Roman" w:hAnsi="Times New Roman"/>
          <w:sz w:val="20"/>
        </w:rPr>
        <w:t xml:space="preserve"> hereof) or any Security Document or Intercreditor Agreement to the contrary, prior to the Disposition Date, any written instrument executed by Specified Holders certifying that the Controlling Party has consented to or approved any amendment, waiver, supplement, consent or approval under this Indenture or any Security Document or Intercreditor Agreement and which provides for the consent, approval, waiver, instruction or direction respect of any matter under this Indenture or any Security Document or Intercreditor Agreement shall constitute binding and conclusive evidence for all purposes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Indenture, the Security Documents and any Intercreditor Agreement of the consent, approval, waiver, instruction or direction of the Controlling Party, upon which the Trustee and Collateral Agent and the Issuer and the Guarantors, will be entitled to conclusively rely without further investigation. For avoidance of doubt, if any such written instrument is delivered to the Issuer, the Trustee and/or the Collateral Agent, no evidence of consent, approval, waiver, instruction or direction obtained from other Holders, beneficial owners, DTC, any DTC participant or otherwise pursuant to DTC’s applicable procedures will be required in order for such consent, approval, waiver, instruction or direction to be effective for all purposes hereunder and under the Security Documents or any Intercreditor Agreement. The Issuer, Trustee and Collateral Agent shall be entitled to conclusively rely that the Disposition Date has not occurred unless and until they have received written notice thereof from a Specified Holder that the Disposition Date has occurred. For avoidance of doubt, prior to the Disposition Date, the Specified Holders act as the representative for all Holders, and the Trustee, the Collateral Agent and the Issuer shall treat any instrument provided by the Specified Holders as an instrument from all Holders and all Holders shall be bound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13.17 </w:t>
      </w:r>
      <w:r>
        <w:rPr>
          <w:rFonts w:ascii="Times New Roman" w:hAnsi="Times New Roman"/>
          <w:sz w:val="20"/>
          <w:u w:val="single"/>
        </w:rPr>
        <w:t>Amendment and Restatement</w:t>
      </w:r>
      <w:r>
        <w:rPr>
          <w:rFonts w:ascii="Times New Roman" w:hAnsi="Times New Roman"/>
          <w:sz w:val="20"/>
        </w:rPr>
        <w:t xml:space="preserve">. It is the intention of the Note Parties, the Trustee, the Collateral Agent and the Holders, and such parties hereby agree, from and after the Restatement Effective Date, that (a) this Indenture amends, restates, supersedes and replaces the Prior Notes Indenture in its entirety; provided that each of the “Notes” and “Obligations” (as such terms are defined in the Prior Notes) outstanding under the Prior Notes on the Restatement Effective Date shall, for purposes of this Indenture, be included as Notes and Obligations hereunder, (b) such amendment and restatement shall operate to renew, amend and modify certain of the rights and obligations of the parties under the Prior Notes Indenture as provided herein, but shall not act as a novation thereof or a novation of any Notes or other obligations outstanding thereunder, all of which Notes and other obligations shall be deemed to be Notes and obligations outstanding under the corresponding provisions described in this Indenture without any further action by any Person, and (c) the Liens securing any outstanding Obligations or Notes under the Prior Notes Indenture shall not be extinguished, but are hereby ratified, affirmed and confirmed and shall be carried forward and shall secure the Obligations as renewed, amended, restated, and modified hereby and by any Note Documents delivered pursuant hereto. Unless specifically amended or restated hereby or by any other Note Document, each of the “Note Documents” under and as defined in the Prior Notes Indenture and the Exhibits and the Schedules thereto shall continue in full force and effect and, from and after the Restatement Effective Date, and any and all references to the Prior Notes Indenture contained therein shall be deemed to refer to this Indenture. </w:t>
      </w:r>
    </w:p>
    <w:p>
      <w:pPr>
        <w:pStyle w:val="TextBody"/>
        <w:bidi w:val="0"/>
        <w:spacing w:before="240" w:after="0"/>
        <w:jc w:val="center"/>
        <w:rPr>
          <w:rFonts w:ascii="Times New Roman" w:hAnsi="Times New Roman"/>
          <w:sz w:val="20"/>
        </w:rPr>
      </w:pPr>
      <w:r>
        <w:rPr>
          <w:rFonts w:ascii="Times New Roman" w:hAnsi="Times New Roman"/>
          <w:sz w:val="20"/>
        </w:rPr>
        <w:t xml:space="preserve">[THIS SPACE INTENTIONALLY LEFT BLANK;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23"/>
        <w:gridCol w:w="163"/>
        <w:gridCol w:w="2196"/>
      </w:tblGrid>
      <w:tr>
        <w:trPr/>
        <w:tc>
          <w:tcPr>
            <w:tcW w:w="1723"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KLX ENERGY SERVICES HOLDINGS, INC.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as the Issuer</w:t>
            </w:r>
          </w:p>
        </w:tc>
      </w:tr>
      <w:tr>
        <w:trPr>
          <w:trHeight w:val="240" w:hRule="atLeast"/>
        </w:trPr>
        <w:tc>
          <w:tcPr>
            <w:tcW w:w="1723" w:type="dxa"/>
            <w:tcBorders/>
            <w:vAlign w:val="center"/>
          </w:tcPr>
          <w:p>
            <w:pPr>
              <w:pStyle w:val="TableContents"/>
              <w:bidi w:val="0"/>
              <w:spacing w:before="0" w:after="283"/>
              <w:jc w:val="left"/>
              <w:rPr>
                <w:sz w:val="4"/>
                <w:szCs w:val="4"/>
              </w:rPr>
            </w:pPr>
            <w:r>
              <w:rPr>
                <w:sz w:val="4"/>
                <w:szCs w:val="4"/>
              </w:rPr>
            </w:r>
          </w:p>
        </w:tc>
        <w:tc>
          <w:tcPr>
            <w:tcW w:w="2359" w:type="dxa"/>
            <w:gridSpan w:val="2"/>
            <w:tcBorders/>
            <w:vAlign w:val="center"/>
          </w:tcPr>
          <w:p>
            <w:pPr>
              <w:pStyle w:val="TableContents"/>
              <w:bidi w:val="0"/>
              <w:spacing w:before="0" w:after="283"/>
              <w:jc w:val="left"/>
              <w:rPr>
                <w:sz w:val="4"/>
                <w:szCs w:val="4"/>
              </w:rPr>
            </w:pPr>
            <w:r>
              <w:rPr>
                <w:sz w:val="4"/>
                <w:szCs w:val="4"/>
              </w:rPr>
            </w:r>
          </w:p>
        </w:tc>
      </w:tr>
      <w:tr>
        <w:trPr/>
        <w:tc>
          <w:tcPr>
            <w:tcW w:w="1723"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219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KRYPTON HOLDCO, LLC</w:t>
            </w:r>
            <w:r>
              <w:rPr/>
              <w:t>, as a Guarantor</w:t>
            </w:r>
          </w:p>
        </w:tc>
      </w:tr>
      <w:tr>
        <w:trPr>
          <w:trHeight w:val="240" w:hRule="atLeast"/>
        </w:trPr>
        <w:tc>
          <w:tcPr>
            <w:tcW w:w="1723" w:type="dxa"/>
            <w:tcBorders/>
            <w:vAlign w:val="center"/>
          </w:tcPr>
          <w:p>
            <w:pPr>
              <w:pStyle w:val="TableContents"/>
              <w:bidi w:val="0"/>
              <w:spacing w:before="0" w:after="283"/>
              <w:jc w:val="left"/>
              <w:rPr>
                <w:sz w:val="4"/>
                <w:szCs w:val="4"/>
              </w:rPr>
            </w:pPr>
            <w:r>
              <w:rPr>
                <w:sz w:val="4"/>
                <w:szCs w:val="4"/>
              </w:rPr>
            </w:r>
          </w:p>
        </w:tc>
        <w:tc>
          <w:tcPr>
            <w:tcW w:w="2359" w:type="dxa"/>
            <w:gridSpan w:val="2"/>
            <w:tcBorders/>
            <w:vAlign w:val="center"/>
          </w:tcPr>
          <w:p>
            <w:pPr>
              <w:pStyle w:val="TableContents"/>
              <w:bidi w:val="0"/>
              <w:spacing w:before="0" w:after="283"/>
              <w:jc w:val="left"/>
              <w:rPr>
                <w:sz w:val="4"/>
                <w:szCs w:val="4"/>
              </w:rPr>
            </w:pPr>
            <w:r>
              <w:rPr>
                <w:sz w:val="4"/>
                <w:szCs w:val="4"/>
              </w:rPr>
            </w:r>
          </w:p>
        </w:tc>
      </w:tr>
      <w:tr>
        <w:trPr/>
        <w:tc>
          <w:tcPr>
            <w:tcW w:w="1723"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219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KRYPTON INTERMEDIATE, LLC</w:t>
            </w:r>
            <w:r>
              <w:rPr/>
              <w:t>, as a Guarantor</w:t>
            </w:r>
          </w:p>
        </w:tc>
      </w:tr>
      <w:tr>
        <w:trPr>
          <w:trHeight w:val="240" w:hRule="atLeast"/>
        </w:trPr>
        <w:tc>
          <w:tcPr>
            <w:tcW w:w="1723" w:type="dxa"/>
            <w:tcBorders/>
            <w:vAlign w:val="center"/>
          </w:tcPr>
          <w:p>
            <w:pPr>
              <w:pStyle w:val="TableContents"/>
              <w:bidi w:val="0"/>
              <w:spacing w:before="0" w:after="283"/>
              <w:jc w:val="left"/>
              <w:rPr>
                <w:sz w:val="4"/>
                <w:szCs w:val="4"/>
              </w:rPr>
            </w:pPr>
            <w:r>
              <w:rPr>
                <w:sz w:val="4"/>
                <w:szCs w:val="4"/>
              </w:rPr>
            </w:r>
          </w:p>
        </w:tc>
        <w:tc>
          <w:tcPr>
            <w:tcW w:w="2359" w:type="dxa"/>
            <w:gridSpan w:val="2"/>
            <w:tcBorders/>
            <w:vAlign w:val="center"/>
          </w:tcPr>
          <w:p>
            <w:pPr>
              <w:pStyle w:val="TableContents"/>
              <w:bidi w:val="0"/>
              <w:spacing w:before="0" w:after="283"/>
              <w:jc w:val="left"/>
              <w:rPr>
                <w:sz w:val="4"/>
                <w:szCs w:val="4"/>
              </w:rPr>
            </w:pPr>
            <w:r>
              <w:rPr>
                <w:sz w:val="4"/>
                <w:szCs w:val="4"/>
              </w:rPr>
            </w:r>
          </w:p>
        </w:tc>
      </w:tr>
      <w:tr>
        <w:trPr/>
        <w:tc>
          <w:tcPr>
            <w:tcW w:w="1723"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219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KLX ENERGY SERVICES, INC.</w:t>
            </w:r>
            <w:r>
              <w:rPr/>
              <w:t>, as a Guarantor</w:t>
            </w:r>
          </w:p>
        </w:tc>
      </w:tr>
      <w:tr>
        <w:trPr>
          <w:trHeight w:val="240" w:hRule="atLeast"/>
        </w:trPr>
        <w:tc>
          <w:tcPr>
            <w:tcW w:w="1723" w:type="dxa"/>
            <w:tcBorders/>
            <w:vAlign w:val="center"/>
          </w:tcPr>
          <w:p>
            <w:pPr>
              <w:pStyle w:val="TableContents"/>
              <w:bidi w:val="0"/>
              <w:spacing w:before="0" w:after="283"/>
              <w:jc w:val="left"/>
              <w:rPr>
                <w:sz w:val="4"/>
                <w:szCs w:val="4"/>
              </w:rPr>
            </w:pPr>
            <w:r>
              <w:rPr>
                <w:sz w:val="4"/>
                <w:szCs w:val="4"/>
              </w:rPr>
            </w:r>
          </w:p>
        </w:tc>
        <w:tc>
          <w:tcPr>
            <w:tcW w:w="2359" w:type="dxa"/>
            <w:gridSpan w:val="2"/>
            <w:tcBorders/>
            <w:vAlign w:val="center"/>
          </w:tcPr>
          <w:p>
            <w:pPr>
              <w:pStyle w:val="TableContents"/>
              <w:bidi w:val="0"/>
              <w:spacing w:before="0" w:after="283"/>
              <w:jc w:val="left"/>
              <w:rPr>
                <w:sz w:val="4"/>
                <w:szCs w:val="4"/>
              </w:rPr>
            </w:pPr>
            <w:r>
              <w:rPr>
                <w:sz w:val="4"/>
                <w:szCs w:val="4"/>
              </w:rPr>
            </w:r>
          </w:p>
        </w:tc>
      </w:tr>
      <w:tr>
        <w:trPr/>
        <w:tc>
          <w:tcPr>
            <w:tcW w:w="1723" w:type="dxa"/>
            <w:tcBorders/>
          </w:tcPr>
          <w:p>
            <w:pPr>
              <w:pStyle w:val="TableContents"/>
              <w:bidi w:val="0"/>
              <w:spacing w:before="0" w:after="283"/>
              <w:jc w:val="left"/>
              <w:rPr/>
            </w:pPr>
            <w:r>
              <w:rPr/>
              <w:t>By:</w:t>
            </w:r>
          </w:p>
        </w:tc>
        <w:tc>
          <w:tcPr>
            <w:tcW w:w="163" w:type="dxa"/>
            <w:tcBorders/>
            <w:vAlign w:val="bottom"/>
          </w:tcPr>
          <w:p>
            <w:pPr>
              <w:pStyle w:val="TableContents"/>
              <w:bidi w:val="0"/>
              <w:spacing w:before="0" w:after="283"/>
              <w:jc w:val="left"/>
              <w:rPr/>
            </w:pPr>
            <w:r>
              <w:rPr/>
              <w:t> </w:t>
            </w:r>
          </w:p>
        </w:tc>
        <w:tc>
          <w:tcPr>
            <w:tcW w:w="219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435"/>
        <w:gridCol w:w="181"/>
        <w:gridCol w:w="2466"/>
      </w:tblGrid>
      <w:tr>
        <w:trPr/>
        <w:tc>
          <w:tcPr>
            <w:tcW w:w="1435"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KLX ENERGY SERVICES LLC</w:t>
            </w:r>
            <w:r>
              <w:rPr/>
              <w:t>, as a Guarantor</w:t>
            </w:r>
          </w:p>
        </w:tc>
      </w:tr>
      <w:tr>
        <w:trPr>
          <w:trHeight w:val="240" w:hRule="atLeast"/>
        </w:trPr>
        <w:tc>
          <w:tcPr>
            <w:tcW w:w="1435" w:type="dxa"/>
            <w:tcBorders/>
            <w:vAlign w:val="center"/>
          </w:tcPr>
          <w:p>
            <w:pPr>
              <w:pStyle w:val="TableContents"/>
              <w:bidi w:val="0"/>
              <w:spacing w:before="0" w:after="283"/>
              <w:jc w:val="left"/>
              <w:rPr>
                <w:sz w:val="4"/>
                <w:szCs w:val="4"/>
              </w:rPr>
            </w:pPr>
            <w:r>
              <w:rPr>
                <w:sz w:val="4"/>
                <w:szCs w:val="4"/>
              </w:rPr>
            </w:r>
          </w:p>
        </w:tc>
        <w:tc>
          <w:tcPr>
            <w:tcW w:w="2647" w:type="dxa"/>
            <w:gridSpan w:val="2"/>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By:</w:t>
            </w:r>
          </w:p>
        </w:tc>
        <w:tc>
          <w:tcPr>
            <w:tcW w:w="181" w:type="dxa"/>
            <w:tcBorders/>
            <w:vAlign w:val="bottom"/>
          </w:tcPr>
          <w:p>
            <w:pPr>
              <w:pStyle w:val="TableContents"/>
              <w:bidi w:val="0"/>
              <w:spacing w:before="0" w:after="283"/>
              <w:jc w:val="left"/>
              <w:rPr/>
            </w:pPr>
            <w:r>
              <w:rPr/>
              <w:t> </w:t>
            </w:r>
          </w:p>
        </w:tc>
        <w:tc>
          <w:tcPr>
            <w:tcW w:w="246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KLX DIRECTIONAL DRILLING, LLC</w:t>
            </w:r>
            <w:r>
              <w:rPr/>
              <w:t>,</w:t>
            </w:r>
          </w:p>
        </w:tc>
      </w:tr>
      <w:tr>
        <w:trPr/>
        <w:tc>
          <w:tcPr>
            <w:tcW w:w="4082" w:type="dxa"/>
            <w:gridSpan w:val="3"/>
            <w:tcBorders/>
          </w:tcPr>
          <w:p>
            <w:pPr>
              <w:pStyle w:val="TableContents"/>
              <w:bidi w:val="0"/>
              <w:spacing w:before="0" w:after="283"/>
              <w:jc w:val="left"/>
              <w:rPr/>
            </w:pPr>
            <w:r>
              <w:rPr/>
              <w:t>as a Guarantor</w:t>
            </w:r>
          </w:p>
        </w:tc>
      </w:tr>
      <w:tr>
        <w:trPr>
          <w:trHeight w:val="240" w:hRule="atLeast"/>
        </w:trPr>
        <w:tc>
          <w:tcPr>
            <w:tcW w:w="1435" w:type="dxa"/>
            <w:tcBorders/>
            <w:vAlign w:val="center"/>
          </w:tcPr>
          <w:p>
            <w:pPr>
              <w:pStyle w:val="TableContents"/>
              <w:bidi w:val="0"/>
              <w:spacing w:before="0" w:after="283"/>
              <w:jc w:val="left"/>
              <w:rPr>
                <w:sz w:val="4"/>
                <w:szCs w:val="4"/>
              </w:rPr>
            </w:pPr>
            <w:r>
              <w:rPr>
                <w:sz w:val="4"/>
                <w:szCs w:val="4"/>
              </w:rPr>
            </w:r>
          </w:p>
        </w:tc>
        <w:tc>
          <w:tcPr>
            <w:tcW w:w="2647" w:type="dxa"/>
            <w:gridSpan w:val="2"/>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By:</w:t>
            </w:r>
          </w:p>
        </w:tc>
        <w:tc>
          <w:tcPr>
            <w:tcW w:w="181" w:type="dxa"/>
            <w:tcBorders/>
            <w:vAlign w:val="bottom"/>
          </w:tcPr>
          <w:p>
            <w:pPr>
              <w:pStyle w:val="TableContents"/>
              <w:bidi w:val="0"/>
              <w:spacing w:before="0" w:after="283"/>
              <w:jc w:val="left"/>
              <w:rPr/>
            </w:pPr>
            <w:r>
              <w:rPr/>
              <w:t> </w:t>
            </w:r>
          </w:p>
        </w:tc>
        <w:tc>
          <w:tcPr>
            <w:tcW w:w="246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CENTERLINE TRUCKING, LLC</w:t>
            </w:r>
            <w:r>
              <w:rPr/>
              <w:t>,</w:t>
            </w:r>
          </w:p>
        </w:tc>
      </w:tr>
      <w:tr>
        <w:trPr/>
        <w:tc>
          <w:tcPr>
            <w:tcW w:w="4082" w:type="dxa"/>
            <w:gridSpan w:val="3"/>
            <w:tcBorders/>
          </w:tcPr>
          <w:p>
            <w:pPr>
              <w:pStyle w:val="TableContents"/>
              <w:bidi w:val="0"/>
              <w:spacing w:before="0" w:after="283"/>
              <w:jc w:val="left"/>
              <w:rPr/>
            </w:pPr>
            <w:r>
              <w:rPr/>
              <w:t>as a Guarantor</w:t>
            </w:r>
          </w:p>
        </w:tc>
      </w:tr>
      <w:tr>
        <w:trPr>
          <w:trHeight w:val="240" w:hRule="atLeast"/>
        </w:trPr>
        <w:tc>
          <w:tcPr>
            <w:tcW w:w="1435" w:type="dxa"/>
            <w:tcBorders/>
            <w:vAlign w:val="center"/>
          </w:tcPr>
          <w:p>
            <w:pPr>
              <w:pStyle w:val="TableContents"/>
              <w:bidi w:val="0"/>
              <w:spacing w:before="0" w:after="283"/>
              <w:jc w:val="left"/>
              <w:rPr>
                <w:sz w:val="4"/>
                <w:szCs w:val="4"/>
              </w:rPr>
            </w:pPr>
            <w:r>
              <w:rPr>
                <w:sz w:val="4"/>
                <w:szCs w:val="4"/>
              </w:rPr>
            </w:r>
          </w:p>
        </w:tc>
        <w:tc>
          <w:tcPr>
            <w:tcW w:w="2647" w:type="dxa"/>
            <w:gridSpan w:val="2"/>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283"/>
              <w:jc w:val="left"/>
              <w:rPr/>
            </w:pPr>
            <w:r>
              <w:rPr/>
              <w:t>By:</w:t>
            </w:r>
          </w:p>
        </w:tc>
        <w:tc>
          <w:tcPr>
            <w:tcW w:w="181" w:type="dxa"/>
            <w:tcBorders/>
            <w:vAlign w:val="bottom"/>
          </w:tcPr>
          <w:p>
            <w:pPr>
              <w:pStyle w:val="TableContents"/>
              <w:bidi w:val="0"/>
              <w:spacing w:before="0" w:after="283"/>
              <w:jc w:val="left"/>
              <w:rPr/>
            </w:pPr>
            <w:r>
              <w:rPr/>
              <w:t> </w:t>
            </w:r>
          </w:p>
        </w:tc>
        <w:tc>
          <w:tcPr>
            <w:tcW w:w="246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321"/>
        <w:gridCol w:w="250"/>
        <w:gridCol w:w="2511"/>
      </w:tblGrid>
      <w:tr>
        <w:trPr/>
        <w:tc>
          <w:tcPr>
            <w:tcW w:w="1321"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U.S. BANK TRUST COMPANY, NATIONAL ASSOCIATION,</w:t>
            </w:r>
            <w:r>
              <w:rPr/>
              <w:t xml:space="preserve"> as Trustee, Registrar, Calculation Agent, Paying Agent and Collateral Agent</w:t>
            </w:r>
          </w:p>
        </w:tc>
      </w:tr>
      <w:tr>
        <w:trPr>
          <w:trHeight w:val="240" w:hRule="atLeast"/>
        </w:trPr>
        <w:tc>
          <w:tcPr>
            <w:tcW w:w="1321" w:type="dxa"/>
            <w:tcBorders/>
            <w:vAlign w:val="center"/>
          </w:tcPr>
          <w:p>
            <w:pPr>
              <w:pStyle w:val="TableContents"/>
              <w:bidi w:val="0"/>
              <w:spacing w:before="0" w:after="283"/>
              <w:jc w:val="left"/>
              <w:rPr>
                <w:sz w:val="4"/>
                <w:szCs w:val="4"/>
              </w:rPr>
            </w:pPr>
            <w:r>
              <w:rPr>
                <w:sz w:val="4"/>
                <w:szCs w:val="4"/>
              </w:rPr>
            </w:r>
          </w:p>
        </w:tc>
        <w:tc>
          <w:tcPr>
            <w:tcW w:w="2761" w:type="dxa"/>
            <w:gridSpan w:val="2"/>
            <w:tcBorders/>
            <w:vAlign w:val="center"/>
          </w:tcPr>
          <w:p>
            <w:pPr>
              <w:pStyle w:val="TableContents"/>
              <w:bidi w:val="0"/>
              <w:spacing w:before="0" w:after="283"/>
              <w:jc w:val="left"/>
              <w:rPr>
                <w:sz w:val="4"/>
                <w:szCs w:val="4"/>
              </w:rPr>
            </w:pPr>
            <w:r>
              <w:rPr>
                <w:sz w:val="4"/>
                <w:szCs w:val="4"/>
              </w:rPr>
            </w:r>
          </w:p>
        </w:tc>
      </w:tr>
      <w:tr>
        <w:trPr/>
        <w:tc>
          <w:tcPr>
            <w:tcW w:w="1321" w:type="dxa"/>
            <w:tcBorders/>
          </w:tcPr>
          <w:p>
            <w:pPr>
              <w:pStyle w:val="TableContents"/>
              <w:bidi w:val="0"/>
              <w:spacing w:before="0" w:after="283"/>
              <w:jc w:val="left"/>
              <w:rPr/>
            </w:pPr>
            <w:r>
              <w:rPr/>
              <w:t>By:</w:t>
            </w:r>
          </w:p>
        </w:tc>
        <w:tc>
          <w:tcPr>
            <w:tcW w:w="250" w:type="dxa"/>
            <w:tcBorders/>
            <w:vAlign w:val="bottom"/>
          </w:tcPr>
          <w:p>
            <w:pPr>
              <w:pStyle w:val="TableContents"/>
              <w:bidi w:val="0"/>
              <w:spacing w:before="0" w:after="283"/>
              <w:jc w:val="left"/>
              <w:rPr/>
            </w:pPr>
            <w:r>
              <w:rPr/>
              <w:t> </w:t>
            </w:r>
          </w:p>
        </w:tc>
        <w:tc>
          <w:tcPr>
            <w:tcW w:w="251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A </w:t>
      </w:r>
    </w:p>
    <w:p>
      <w:pPr>
        <w:pStyle w:val="TextBody"/>
        <w:bidi w:val="0"/>
        <w:spacing w:before="480" w:after="0"/>
        <w:jc w:val="center"/>
        <w:rPr>
          <w:rFonts w:ascii="Times New Roman" w:hAnsi="Times New Roman"/>
          <w:b/>
          <w:sz w:val="20"/>
        </w:rPr>
      </w:pPr>
      <w:r>
        <w:rPr>
          <w:rFonts w:ascii="Times New Roman" w:hAnsi="Times New Roman"/>
          <w:b/>
          <w:sz w:val="20"/>
        </w:rPr>
        <w:t xml:space="preserve">PROVISIONS RELATING TO INITIAL NOTES, PIK NOTES AND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Capitalized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in this Appendix A have the meanings given to them in the Indenture. The following capitalized terms have the following meanings: </w:t>
      </w:r>
    </w:p>
    <w:p>
      <w:pPr>
        <w:pStyle w:val="TextBody"/>
        <w:bidi w:val="0"/>
        <w:spacing w:before="240" w:after="0"/>
        <w:jc w:val="left"/>
        <w:rPr/>
      </w:pPr>
      <w:r>
        <w:rPr/>
        <w:t>“</w:t>
      </w:r>
      <w:r>
        <w:rPr>
          <w:rFonts w:ascii="Times New Roman" w:hAnsi="Times New Roman"/>
          <w:b/>
          <w:sz w:val="20"/>
        </w:rPr>
        <w:t>Applicable Procedures</w:t>
      </w:r>
      <w:r>
        <w:rPr>
          <w:rFonts w:ascii="Times New Roman" w:hAnsi="Times New Roman"/>
          <w:sz w:val="20"/>
        </w:rPr>
        <w:t xml:space="preserve">”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 </w:t>
      </w:r>
    </w:p>
    <w:p>
      <w:pPr>
        <w:pStyle w:val="TextBody"/>
        <w:bidi w:val="0"/>
        <w:spacing w:before="240" w:after="0"/>
        <w:jc w:val="left"/>
        <w:rPr/>
      </w:pPr>
      <w:r>
        <w:rPr/>
        <w:t>“</w:t>
      </w:r>
      <w:r>
        <w:rPr>
          <w:rFonts w:ascii="Times New Roman" w:hAnsi="Times New Roman"/>
          <w:b/>
          <w:sz w:val="20"/>
        </w:rPr>
        <w:t>Clearstream</w:t>
      </w:r>
      <w:r>
        <w:rPr>
          <w:rFonts w:ascii="Times New Roman" w:hAnsi="Times New Roman"/>
          <w:sz w:val="20"/>
        </w:rPr>
        <w:t xml:space="preserve">” means Clearstream Banking, Societe Anonyme, or any successor securities clearing agency. </w:t>
      </w:r>
    </w:p>
    <w:p>
      <w:pPr>
        <w:pStyle w:val="TextBody"/>
        <w:bidi w:val="0"/>
        <w:spacing w:before="240" w:after="0"/>
        <w:jc w:val="left"/>
        <w:rPr/>
      </w:pPr>
      <w:r>
        <w:rPr/>
        <w:t>“</w:t>
      </w:r>
      <w:r>
        <w:rPr>
          <w:rFonts w:ascii="Times New Roman" w:hAnsi="Times New Roman"/>
          <w:b/>
          <w:sz w:val="20"/>
        </w:rPr>
        <w:t>Distribution Compliance Period</w:t>
      </w:r>
      <w:r>
        <w:rPr>
          <w:rFonts w:ascii="Times New Roman" w:hAnsi="Times New Roman"/>
          <w:sz w:val="20"/>
        </w:rPr>
        <w:t xml:space="preserve">,” with respect to any Note, means the period of 40 consecutive days beginning on and including the later of (a) the day on which such Note is first offered to persons other than distributors (as defined in Regulation S) in reliance on Regulation S, notice of which day shall be promptly given by the Issuer to the Trustee, and (b) the date of issuance with respect to such Note or any predecessor of such Note. </w:t>
      </w:r>
    </w:p>
    <w:p>
      <w:pPr>
        <w:pStyle w:val="TextBody"/>
        <w:bidi w:val="0"/>
        <w:spacing w:before="240" w:after="0"/>
        <w:jc w:val="left"/>
        <w:rPr/>
      </w:pPr>
      <w:r>
        <w:rPr/>
        <w:t>“</w:t>
      </w:r>
      <w:r>
        <w:rPr>
          <w:rFonts w:ascii="Times New Roman" w:hAnsi="Times New Roman"/>
          <w:b/>
          <w:sz w:val="20"/>
        </w:rPr>
        <w:t>Euroclear</w:t>
      </w:r>
      <w:r>
        <w:rPr>
          <w:rFonts w:ascii="Times New Roman" w:hAnsi="Times New Roman"/>
          <w:sz w:val="20"/>
        </w:rPr>
        <w:t xml:space="preserve">” means Euroclear Bank S.A./N.Y., as operator of Euroclear Clearance System or any successor securities clearing agency. </w:t>
      </w:r>
    </w:p>
    <w:p>
      <w:pPr>
        <w:pStyle w:val="TextBody"/>
        <w:bidi w:val="0"/>
        <w:spacing w:before="240" w:after="0"/>
        <w:jc w:val="left"/>
        <w:rPr/>
      </w:pPr>
      <w:r>
        <w:rPr/>
        <w:t>“</w:t>
      </w:r>
      <w:r>
        <w:rPr>
          <w:rFonts w:ascii="Times New Roman" w:hAnsi="Times New Roman"/>
          <w:b/>
          <w:sz w:val="20"/>
        </w:rPr>
        <w:t>IAI</w:t>
      </w:r>
      <w:r>
        <w:rPr>
          <w:rFonts w:ascii="Times New Roman" w:hAnsi="Times New Roman"/>
          <w:sz w:val="20"/>
        </w:rPr>
        <w:t xml:space="preserve">” means an institution that is an “accredited investor” as described in Rule 501(a)(1), (2), (3) or (7) under the Securities Act and is not a QIB. </w:t>
      </w:r>
    </w:p>
    <w:p>
      <w:pPr>
        <w:pStyle w:val="TextBody"/>
        <w:bidi w:val="0"/>
        <w:spacing w:before="240" w:after="0"/>
        <w:jc w:val="left"/>
        <w:rPr/>
      </w:pPr>
      <w:r>
        <w:rPr/>
        <w:t>“</w:t>
      </w:r>
      <w:r>
        <w:rPr>
          <w:rFonts w:ascii="Times New Roman" w:hAnsi="Times New Roman"/>
          <w:b/>
          <w:sz w:val="20"/>
        </w:rPr>
        <w:t>QIB</w:t>
      </w:r>
      <w:r>
        <w:rPr>
          <w:rFonts w:ascii="Times New Roman" w:hAnsi="Times New Roman"/>
          <w:sz w:val="20"/>
        </w:rPr>
        <w:t xml:space="preserve">” means a “qualified institutional buyer” as defined in Rule 144A. </w:t>
      </w:r>
    </w:p>
    <w:p>
      <w:pPr>
        <w:pStyle w:val="TextBody"/>
        <w:bidi w:val="0"/>
        <w:spacing w:before="240" w:after="0"/>
        <w:jc w:val="left"/>
        <w:rPr/>
      </w:pPr>
      <w:r>
        <w:rPr/>
        <w:t>“</w:t>
      </w:r>
      <w:r>
        <w:rPr>
          <w:rFonts w:ascii="Times New Roman" w:hAnsi="Times New Roman"/>
          <w:b/>
          <w:sz w:val="20"/>
        </w:rPr>
        <w:t>Regulation S</w:t>
      </w:r>
      <w:r>
        <w:rPr>
          <w:rFonts w:ascii="Times New Roman" w:hAnsi="Times New Roman"/>
          <w:sz w:val="20"/>
        </w:rPr>
        <w:t xml:space="preserve">” means Regulation S promulgated under the Securities Act (including any successor provision thereto), as it may be amended from time to time.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under the Securities Act (including any successor provision thereto), as it may be amended from time to time. </w:t>
      </w:r>
    </w:p>
    <w:p>
      <w:pPr>
        <w:pStyle w:val="TextBody"/>
        <w:bidi w:val="0"/>
        <w:spacing w:before="240" w:after="0"/>
        <w:jc w:val="left"/>
        <w:rPr/>
      </w:pPr>
      <w:r>
        <w:rPr/>
        <w:t>“</w:t>
      </w:r>
      <w:r>
        <w:rPr>
          <w:rFonts w:ascii="Times New Roman" w:hAnsi="Times New Roman"/>
          <w:b/>
          <w:sz w:val="20"/>
        </w:rPr>
        <w:t>Rule 144A</w:t>
      </w:r>
      <w:r>
        <w:rPr>
          <w:rFonts w:ascii="Times New Roman" w:hAnsi="Times New Roman"/>
          <w:sz w:val="20"/>
        </w:rPr>
        <w:t xml:space="preserve">” means Rule 144A promulgated under the Securities Act (including any successor provision thereto), as it may be amended from time to time. </w:t>
      </w:r>
    </w:p>
    <w:p>
      <w:pPr>
        <w:pStyle w:val="TextBody"/>
        <w:bidi w:val="0"/>
        <w:spacing w:before="240" w:after="0"/>
        <w:jc w:val="left"/>
        <w:rPr/>
      </w:pPr>
      <w:r>
        <w:rPr/>
        <w:t>“</w:t>
      </w:r>
      <w:r>
        <w:rPr>
          <w:rFonts w:ascii="Times New Roman" w:hAnsi="Times New Roman"/>
          <w:b/>
          <w:sz w:val="20"/>
        </w:rPr>
        <w:t>Transfer Restricted Notes</w:t>
      </w:r>
      <w:r>
        <w:rPr>
          <w:rFonts w:ascii="Times New Roman" w:hAnsi="Times New Roman"/>
          <w:sz w:val="20"/>
        </w:rPr>
        <w:t xml:space="preserve">” means Notes that bear or are required to bear the Restricted Notes Legend.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U.S. Government Obligations</w:t>
      </w:r>
      <w:r>
        <w:rPr>
          <w:rFonts w:ascii="Times New Roman" w:hAnsi="Times New Roman"/>
          <w:sz w:val="20"/>
        </w:rPr>
        <w:t xml:space="preserve">” means direct non-callable obligations of, or guaranteed by the United States for the payment of which guarantee or obligations the full faith and credit of the United States is pledged. </w:t>
      </w:r>
    </w:p>
    <w:p>
      <w:pPr>
        <w:pStyle w:val="TextBody"/>
        <w:bidi w:val="0"/>
        <w:spacing w:before="240" w:after="0"/>
        <w:jc w:val="left"/>
        <w:rPr/>
      </w:pPr>
      <w:r>
        <w:rPr/>
        <w:t>“</w:t>
      </w:r>
      <w:r>
        <w:rPr>
          <w:rFonts w:ascii="Times New Roman" w:hAnsi="Times New Roman"/>
          <w:b/>
          <w:sz w:val="20"/>
        </w:rPr>
        <w:t>U.S. person</w:t>
      </w:r>
      <w:r>
        <w:rPr>
          <w:rFonts w:ascii="Times New Roman" w:hAnsi="Times New Roman"/>
          <w:sz w:val="20"/>
        </w:rPr>
        <w:t xml:space="preserve">” means a “U.S. person” as defined in Regulation S. </w:t>
      </w:r>
    </w:p>
    <w:p>
      <w:pPr>
        <w:pStyle w:val="TextBody"/>
        <w:bidi w:val="0"/>
        <w:spacing w:before="240" w:after="0"/>
        <w:jc w:val="left"/>
        <w:rPr/>
      </w:pPr>
      <w:r>
        <w:rPr/>
        <w:t>“</w:t>
      </w:r>
      <w:r>
        <w:rPr>
          <w:rFonts w:ascii="Times New Roman" w:hAnsi="Times New Roman"/>
          <w:b/>
          <w:sz w:val="20"/>
        </w:rPr>
        <w:t>Unrestricted Global Note</w:t>
      </w:r>
      <w:r>
        <w:rPr>
          <w:rFonts w:ascii="Times New Roman" w:hAnsi="Times New Roman"/>
          <w:sz w:val="20"/>
        </w:rPr>
        <w:t xml:space="preserve">” means any Note in global form that does not bear or is not required to bear the Restricted Notes Legend.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8"/>
        <w:gridCol w:w="226"/>
        <w:gridCol w:w="791"/>
      </w:tblGrid>
      <w:tr>
        <w:trPr/>
        <w:tc>
          <w:tcPr>
            <w:tcW w:w="9188"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18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Term</w:t>
            </w:r>
          </w:p>
        </w:tc>
        <w:tc>
          <w:tcPr>
            <w:tcW w:w="226" w:type="dxa"/>
            <w:tcBorders/>
            <w:vAlign w:val="bottom"/>
          </w:tcPr>
          <w:p>
            <w:pPr>
              <w:pStyle w:val="TableContents"/>
              <w:bidi w:val="0"/>
              <w:spacing w:before="0" w:after="283"/>
              <w:jc w:val="left"/>
              <w:rPr/>
            </w:pPr>
            <w:r>
              <w:rPr/>
              <w:t>  </w:t>
            </w:r>
          </w:p>
        </w:tc>
        <w:tc>
          <w:tcPr>
            <w:tcW w:w="7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Defined in</w:t>
              <w:br/>
              <w:t>Section:</w:t>
            </w:r>
          </w:p>
        </w:tc>
      </w:tr>
      <w:tr>
        <w:trPr/>
        <w:tc>
          <w:tcPr>
            <w:tcW w:w="9188" w:type="dxa"/>
            <w:tcBorders/>
          </w:tcPr>
          <w:p>
            <w:pPr>
              <w:pStyle w:val="TableContents"/>
              <w:bidi w:val="0"/>
              <w:spacing w:before="0" w:after="283"/>
              <w:jc w:val="left"/>
              <w:rPr/>
            </w:pPr>
            <w:r>
              <w:rPr/>
              <w:t>“</w:t>
            </w:r>
            <w:r>
              <w:rPr>
                <w:b/>
              </w:rPr>
              <w:t>Agent Member”</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2.1(c)</w:t>
            </w:r>
          </w:p>
        </w:tc>
      </w:tr>
      <w:tr>
        <w:trPr/>
        <w:tc>
          <w:tcPr>
            <w:tcW w:w="9188" w:type="dxa"/>
            <w:tcBorders/>
          </w:tcPr>
          <w:p>
            <w:pPr>
              <w:pStyle w:val="TableContents"/>
              <w:bidi w:val="0"/>
              <w:spacing w:before="0" w:after="283"/>
              <w:jc w:val="left"/>
              <w:rPr/>
            </w:pPr>
            <w:r>
              <w:rPr/>
              <w:t>“</w:t>
            </w:r>
            <w:r>
              <w:rPr>
                <w:b/>
              </w:rPr>
              <w:t>Definitive Notes Legend”</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2.2(e)</w:t>
            </w:r>
          </w:p>
        </w:tc>
      </w:tr>
      <w:tr>
        <w:trPr/>
        <w:tc>
          <w:tcPr>
            <w:tcW w:w="9188" w:type="dxa"/>
            <w:tcBorders/>
          </w:tcPr>
          <w:p>
            <w:pPr>
              <w:pStyle w:val="TableContents"/>
              <w:bidi w:val="0"/>
              <w:spacing w:before="0" w:after="283"/>
              <w:jc w:val="left"/>
              <w:rPr/>
            </w:pPr>
            <w:r>
              <w:rPr/>
              <w:t>“</w:t>
            </w:r>
            <w:r>
              <w:rPr>
                <w:b/>
              </w:rPr>
              <w:t>ERISA Legend”</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2.2(e)</w:t>
            </w:r>
          </w:p>
        </w:tc>
      </w:tr>
      <w:tr>
        <w:trPr/>
        <w:tc>
          <w:tcPr>
            <w:tcW w:w="9188" w:type="dxa"/>
            <w:tcBorders/>
          </w:tcPr>
          <w:p>
            <w:pPr>
              <w:pStyle w:val="TableContents"/>
              <w:bidi w:val="0"/>
              <w:spacing w:before="0" w:after="283"/>
              <w:jc w:val="left"/>
              <w:rPr/>
            </w:pPr>
            <w:r>
              <w:rPr/>
              <w:t>“</w:t>
            </w:r>
            <w:r>
              <w:rPr>
                <w:b/>
              </w:rPr>
              <w:t>Global Note”</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2.1(b)</w:t>
            </w:r>
          </w:p>
        </w:tc>
      </w:tr>
      <w:tr>
        <w:trPr/>
        <w:tc>
          <w:tcPr>
            <w:tcW w:w="9188" w:type="dxa"/>
            <w:tcBorders/>
          </w:tcPr>
          <w:p>
            <w:pPr>
              <w:pStyle w:val="TableContents"/>
              <w:bidi w:val="0"/>
              <w:spacing w:before="0" w:after="283"/>
              <w:jc w:val="left"/>
              <w:rPr/>
            </w:pPr>
            <w:r>
              <w:rPr/>
              <w:t>“</w:t>
            </w:r>
            <w:r>
              <w:rPr>
                <w:b/>
              </w:rPr>
              <w:t>Global Notes Legend”</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2.2(e)</w:t>
            </w:r>
          </w:p>
        </w:tc>
      </w:tr>
      <w:tr>
        <w:trPr/>
        <w:tc>
          <w:tcPr>
            <w:tcW w:w="9188" w:type="dxa"/>
            <w:tcBorders/>
          </w:tcPr>
          <w:p>
            <w:pPr>
              <w:pStyle w:val="TableContents"/>
              <w:bidi w:val="0"/>
              <w:spacing w:before="0" w:after="283"/>
              <w:jc w:val="left"/>
              <w:rPr/>
            </w:pPr>
            <w:r>
              <w:rPr/>
              <w:t>“</w:t>
            </w:r>
            <w:r>
              <w:rPr>
                <w:b/>
              </w:rPr>
              <w:t>IAI Global Note”</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2.1(b)</w:t>
            </w:r>
          </w:p>
        </w:tc>
      </w:tr>
      <w:tr>
        <w:trPr/>
        <w:tc>
          <w:tcPr>
            <w:tcW w:w="9188" w:type="dxa"/>
            <w:tcBorders/>
          </w:tcPr>
          <w:p>
            <w:pPr>
              <w:pStyle w:val="TableContents"/>
              <w:bidi w:val="0"/>
              <w:spacing w:before="0" w:after="283"/>
              <w:jc w:val="left"/>
              <w:rPr/>
            </w:pPr>
            <w:r>
              <w:rPr/>
              <w:t>“</w:t>
            </w:r>
            <w:r>
              <w:rPr>
                <w:b/>
              </w:rPr>
              <w:t>OID Legend”</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2.2(e)</w:t>
            </w:r>
          </w:p>
        </w:tc>
      </w:tr>
      <w:tr>
        <w:trPr/>
        <w:tc>
          <w:tcPr>
            <w:tcW w:w="9188" w:type="dxa"/>
            <w:tcBorders/>
          </w:tcPr>
          <w:p>
            <w:pPr>
              <w:pStyle w:val="TableContents"/>
              <w:bidi w:val="0"/>
              <w:spacing w:before="0" w:after="283"/>
              <w:jc w:val="left"/>
              <w:rPr/>
            </w:pPr>
            <w:r>
              <w:rPr/>
              <w:t>“</w:t>
            </w:r>
            <w:r>
              <w:rPr>
                <w:b/>
              </w:rPr>
              <w:t>Regulation S Global Note”</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2.1(b)</w:t>
            </w:r>
          </w:p>
        </w:tc>
      </w:tr>
      <w:tr>
        <w:trPr/>
        <w:tc>
          <w:tcPr>
            <w:tcW w:w="9188" w:type="dxa"/>
            <w:tcBorders/>
          </w:tcPr>
          <w:p>
            <w:pPr>
              <w:pStyle w:val="TableContents"/>
              <w:bidi w:val="0"/>
              <w:spacing w:before="0" w:after="283"/>
              <w:jc w:val="left"/>
              <w:rPr/>
            </w:pPr>
            <w:r>
              <w:rPr/>
              <w:t>“</w:t>
            </w:r>
            <w:r>
              <w:rPr>
                <w:b/>
              </w:rPr>
              <w:t>Regulation S Notes”</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2.1(a)</w:t>
            </w:r>
          </w:p>
        </w:tc>
      </w:tr>
      <w:tr>
        <w:trPr/>
        <w:tc>
          <w:tcPr>
            <w:tcW w:w="9188" w:type="dxa"/>
            <w:tcBorders/>
          </w:tcPr>
          <w:p>
            <w:pPr>
              <w:pStyle w:val="TableContents"/>
              <w:bidi w:val="0"/>
              <w:spacing w:before="0" w:after="283"/>
              <w:jc w:val="left"/>
              <w:rPr/>
            </w:pPr>
            <w:r>
              <w:rPr/>
              <w:t>“</w:t>
            </w:r>
            <w:r>
              <w:rPr>
                <w:b/>
              </w:rPr>
              <w:t>Restricted Notes Legend”</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2.2(e)</w:t>
            </w:r>
          </w:p>
        </w:tc>
      </w:tr>
      <w:tr>
        <w:trPr/>
        <w:tc>
          <w:tcPr>
            <w:tcW w:w="9188" w:type="dxa"/>
            <w:tcBorders/>
          </w:tcPr>
          <w:p>
            <w:pPr>
              <w:pStyle w:val="TableContents"/>
              <w:bidi w:val="0"/>
              <w:spacing w:before="0" w:after="283"/>
              <w:jc w:val="left"/>
              <w:rPr/>
            </w:pPr>
            <w:r>
              <w:rPr/>
              <w:t>“</w:t>
            </w:r>
            <w:r>
              <w:rPr>
                <w:b/>
              </w:rPr>
              <w:t>Rule 144A Global Note”</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2.1(b)</w:t>
            </w:r>
          </w:p>
        </w:tc>
      </w:tr>
      <w:tr>
        <w:trPr/>
        <w:tc>
          <w:tcPr>
            <w:tcW w:w="9188" w:type="dxa"/>
            <w:tcBorders/>
          </w:tcPr>
          <w:p>
            <w:pPr>
              <w:pStyle w:val="TableContents"/>
              <w:bidi w:val="0"/>
              <w:spacing w:before="0" w:after="283"/>
              <w:jc w:val="left"/>
              <w:rPr/>
            </w:pPr>
            <w:r>
              <w:rPr/>
              <w:t>“</w:t>
            </w:r>
            <w:r>
              <w:rPr>
                <w:b/>
              </w:rPr>
              <w:t>Rule 144A Notes”</w:t>
            </w:r>
          </w:p>
        </w:tc>
        <w:tc>
          <w:tcPr>
            <w:tcW w:w="226" w:type="dxa"/>
            <w:tcBorders/>
            <w:vAlign w:val="bottom"/>
          </w:tcPr>
          <w:p>
            <w:pPr>
              <w:pStyle w:val="TableContents"/>
              <w:bidi w:val="0"/>
              <w:spacing w:before="0" w:after="283"/>
              <w:jc w:val="left"/>
              <w:rPr/>
            </w:pPr>
            <w:r>
              <w:rPr/>
              <w:t>  </w:t>
            </w:r>
          </w:p>
        </w:tc>
        <w:tc>
          <w:tcPr>
            <w:tcW w:w="791" w:type="dxa"/>
            <w:tcBorders/>
          </w:tcPr>
          <w:p>
            <w:pPr>
              <w:pStyle w:val="TableContents"/>
              <w:bidi w:val="0"/>
              <w:spacing w:before="0" w:after="283"/>
              <w:jc w:val="center"/>
              <w:rPr/>
            </w:pPr>
            <w:r>
              <w:rPr/>
              <w:t>2.1(a)</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Initial Notes were issued on the Closing Date in the form of one or more Global Notes, which were deposited on behalf of the purchasers of the Notes represented thereby with the Custodian, and registered in the name of the Depositary or a nominee of the Depositary, duly executed by the Issuer and authenticated by the Trustee as provided herein. The Initial Notes issued on the Closing Date were offered and sold by the Issuer to (1) QIBs and IAIs (“</w:t>
      </w:r>
      <w:r>
        <w:rPr>
          <w:rFonts w:ascii="Times New Roman" w:hAnsi="Times New Roman"/>
          <w:b/>
          <w:sz w:val="20"/>
        </w:rPr>
        <w:t>Rule 144A Notes</w:t>
      </w:r>
      <w:r>
        <w:rPr>
          <w:rFonts w:ascii="Times New Roman" w:hAnsi="Times New Roman"/>
          <w:sz w:val="20"/>
        </w:rPr>
        <w:t>”) and (2) Persons other than U.S. persons in reliance on Regulation S (“</w:t>
      </w:r>
      <w:r>
        <w:rPr>
          <w:rFonts w:ascii="Times New Roman" w:hAnsi="Times New Roman"/>
          <w:b/>
          <w:sz w:val="20"/>
        </w:rPr>
        <w:t>Regulation S Notes</w:t>
      </w:r>
      <w:r>
        <w:rPr>
          <w:rFonts w:ascii="Times New Roman" w:hAnsi="Times New Roman"/>
          <w:sz w:val="20"/>
        </w:rPr>
        <w:t xml:space="preserve">”). From and after the Restatement Effective Date, Additional Notes may also be considered to be Rule 144A Notes or Regulation S Notes,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Global Notes</w:t>
      </w:r>
      <w:r>
        <w:rPr>
          <w:rFonts w:ascii="Times New Roman" w:hAnsi="Times New Roman"/>
          <w:sz w:val="20"/>
        </w:rPr>
        <w:t>. Rule 144A Notes shall be issued initially in the form of one or more permanent Global Notes in definitive, fully registered form, numbered 144A-001 upward (collectively, the “</w:t>
      </w:r>
      <w:r>
        <w:rPr>
          <w:rFonts w:ascii="Times New Roman" w:hAnsi="Times New Roman"/>
          <w:b/>
          <w:sz w:val="20"/>
        </w:rPr>
        <w:t>Rule 144A Global Note</w:t>
      </w:r>
      <w:r>
        <w:rPr>
          <w:rFonts w:ascii="Times New Roman" w:hAnsi="Times New Roman"/>
          <w:sz w:val="20"/>
        </w:rPr>
        <w:t>”) and Regulation S Notes shall be issued initially in the form of one or more Global Notes, numbered S-001 upward (collectively, the “</w:t>
      </w:r>
      <w:r>
        <w:rPr>
          <w:rFonts w:ascii="Times New Roman" w:hAnsi="Times New Roman"/>
          <w:b/>
          <w:sz w:val="20"/>
        </w:rPr>
        <w:t>Regulation S Global Note</w:t>
      </w:r>
      <w:r>
        <w:rPr>
          <w:rFonts w:ascii="Times New Roman" w:hAnsi="Times New Roman"/>
          <w:sz w:val="20"/>
        </w:rPr>
        <w:t xml:space="preserve">”), in each case (and including the Initial Notes and any PIK Notes issued prior to the Restatement Effective Date) without interest coupons and bearing the Global Notes Legend and the Restricted Notes Legend, which shall be deposited on behalf of the purchasers of the Notes represented thereby with the Custodian, and registered in the name of the Depositary or a nominee of the Depositary, duly executed by the Issuer and authenticated by the Trustee (or an Authenticating Agent appointed by the Trustee in accordance with the Indenture) as provided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Indenture. One or more Global Notes in definitive, fully registered form without interest coupons and bearing the Global Notes Legend and the Restricted Notes Legend, numbered IAI-001 upward (collectively, the “</w:t>
      </w:r>
      <w:r>
        <w:rPr>
          <w:rFonts w:ascii="Times New Roman" w:hAnsi="Times New Roman"/>
          <w:b/>
          <w:sz w:val="20"/>
        </w:rPr>
        <w:t>IAI Global Note</w:t>
      </w:r>
      <w:r>
        <w:rPr>
          <w:rFonts w:ascii="Times New Roman" w:hAnsi="Times New Roman"/>
          <w:sz w:val="20"/>
        </w:rPr>
        <w:t>”) were also issued on the Closing Date, deposited with the Custodian, and registered in the name of the Depositary or a nominee of the Depositary, duly executed by the Issuer and authenticated by the Trustee (or an Authenticating Agent appointed by the Trustee in accordance with the Indenture) as provided in the Indenture to accommodate transfers of beneficial interests in the Notes to IAIs subsequent to the initial distribution. The Rule 144A Global Note, the IAI Global Note, the Regulation S Global Note and any Unrestricted Global Note are each referred to herein as a “</w:t>
      </w:r>
      <w:r>
        <w:rPr>
          <w:rFonts w:ascii="Times New Roman" w:hAnsi="Times New Roman"/>
          <w:b/>
          <w:sz w:val="20"/>
        </w:rPr>
        <w:t>Global Note</w:t>
      </w:r>
      <w:r>
        <w:rPr>
          <w:rFonts w:ascii="Times New Roman" w:hAnsi="Times New Roman"/>
          <w:sz w:val="20"/>
        </w:rPr>
        <w:t>” and are collectively referred to herein as “</w:t>
      </w:r>
      <w:r>
        <w:rPr>
          <w:rFonts w:ascii="Times New Roman" w:hAnsi="Times New Roman"/>
          <w:b/>
          <w:sz w:val="20"/>
        </w:rPr>
        <w:t>Global Notes</w:t>
      </w:r>
      <w:r>
        <w:rPr>
          <w:rFonts w:ascii="Times New Roman" w:hAnsi="Times New Roman"/>
          <w:sz w:val="20"/>
        </w:rPr>
        <w:t xml:space="preserve">.”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the Indenture and Section 2.2(c) of this Appendix 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Book-Entry Provisions</w:t>
      </w:r>
      <w:r>
        <w:rPr>
          <w:rFonts w:ascii="Times New Roman" w:hAnsi="Times New Roman"/>
          <w:sz w:val="20"/>
        </w:rPr>
        <w:t xml:space="preserve">. This Section 2.1(c) shall apply only to a Global Note deposited with or on behalf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execute and the Trustee shall, in accordance with this Section 2.1(c) and </w:t>
      </w:r>
      <w:r>
        <w:rPr>
          <w:rFonts w:ascii="Times New Roman" w:hAnsi="Times New Roman"/>
          <w:sz w:val="20"/>
          <w:u w:val="single"/>
        </w:rPr>
        <w:t>Section 2.02</w:t>
      </w:r>
      <w:r>
        <w:rPr>
          <w:rFonts w:ascii="Times New Roman" w:hAnsi="Times New Roman"/>
          <w:sz w:val="20"/>
        </w:rPr>
        <w:t xml:space="preserve"> of the Indenture and pursuant to an order of the Issuer signed by one Officer of the Issuer,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 </w:t>
      </w:r>
    </w:p>
    <w:p>
      <w:pPr>
        <w:pStyle w:val="TextBody"/>
        <w:bidi w:val="0"/>
        <w:spacing w:before="240" w:after="0"/>
        <w:jc w:val="left"/>
        <w:rPr>
          <w:rFonts w:ascii="Times New Roman" w:hAnsi="Times New Roman"/>
          <w:sz w:val="20"/>
        </w:rPr>
      </w:pPr>
      <w:r>
        <w:rPr>
          <w:rFonts w:ascii="Times New Roman" w:hAnsi="Times New Roman"/>
          <w:sz w:val="20"/>
        </w:rPr>
        <w:t>Members of, or participants and current holders in, the Depositary, Euroclear and Clearstream (“</w:t>
      </w:r>
      <w:r>
        <w:rPr>
          <w:rFonts w:ascii="Times New Roman" w:hAnsi="Times New Roman"/>
          <w:b/>
          <w:sz w:val="20"/>
        </w:rPr>
        <w:t>Agent Members</w:t>
      </w:r>
      <w:r>
        <w:rPr>
          <w:rFonts w:ascii="Times New Roman" w:hAnsi="Times New Roman"/>
          <w:sz w:val="20"/>
        </w:rPr>
        <w:t xml:space="preserve">”) shall have no rights under the Indenture with respect to any Global Note held on their behalf by the Depositary or by the Trustee as Custodian or any other custodian of the Depositary or under such Global Note, and the Depositary or its nominee may be treated by the Issuer, the Trustee and any agent of the Issuer, the Guarantors or the Trustee as the absolute owner of such Global Note for all purposes whatsoever. Subject to any provisions contained in the Indenture, the registered Holder of a Global Note may grant proxies and otherwise authorize any Person, including Agent Members, to take any action that a Holder is entitled to take under the Indenture or the Notes. Notwithstanding the foregoing, nothing herein shall prevent the Issuer, the Guarantors, the Trustee or any agent of the Issuer, the Guarantors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Definitive Notes</w:t>
      </w:r>
      <w:r>
        <w:rPr>
          <w:rFonts w:ascii="Times New Roman" w:hAnsi="Times New Roman"/>
          <w:sz w:val="20"/>
        </w:rPr>
        <w:t xml:space="preserve">. Except as provided in Section 2.2 or Section 2.3 of this Appendix A, owners of beneficial interests in Global Notes shall not be entitled to receive physical delivery of Definitive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and Exchange of Definitive Notes for Definitive Notes</w:t>
      </w:r>
      <w:r>
        <w:rPr>
          <w:rFonts w:ascii="Times New Roman" w:hAnsi="Times New Roman"/>
          <w:sz w:val="20"/>
        </w:rPr>
        <w:t xml:space="preserve">. When Definitive Notes are presented to the Registrar with a request: </w:t>
      </w:r>
    </w:p>
    <w:p>
      <w:pPr>
        <w:pStyle w:val="TextBody"/>
        <w:bidi w:val="0"/>
        <w:spacing w:before="240" w:after="0"/>
        <w:jc w:val="left"/>
        <w:rPr>
          <w:rFonts w:ascii="Times New Roman" w:hAnsi="Times New Roman"/>
          <w:sz w:val="20"/>
        </w:rPr>
      </w:pPr>
      <w:r>
        <w:rPr>
          <w:rFonts w:ascii="Times New Roman" w:hAnsi="Times New Roman"/>
          <w:sz w:val="20"/>
        </w:rPr>
        <w:t xml:space="preserve">(i) to register the transfer of such Definitive Notes; or </w:t>
      </w:r>
    </w:p>
    <w:p>
      <w:pPr>
        <w:pStyle w:val="TextBody"/>
        <w:bidi w:val="0"/>
        <w:spacing w:before="240" w:after="0"/>
        <w:jc w:val="left"/>
        <w:rPr>
          <w:rFonts w:ascii="Times New Roman" w:hAnsi="Times New Roman"/>
          <w:sz w:val="20"/>
        </w:rPr>
      </w:pPr>
      <w:r>
        <w:rPr>
          <w:rFonts w:ascii="Times New Roman" w:hAnsi="Times New Roman"/>
          <w:sz w:val="20"/>
        </w:rPr>
        <w:t xml:space="preserve">(ii) to exchange such Definitive Notes for an equal principal amount of Definitive Notes of other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the Registrar shall register the transfer or make the exchange as requested if its reasonable requirements for such transaction are met;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Definitive Notes surrendered for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(1) shall be duly endorsed or accompanied by a written instrument of transfer in form reasonably satisfactory to the Issuer and the Registrar, duly executed by the Holder thereof or his attorney duly authorized in writing; and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Transfer Restricted Notes, must be transferred or exchanged pursuant to an effective registration statement under the Securities Act or pursuant to Section 2.2(b) of this Appendix A or otherwise in accordance with the Restricted Notes Legend, and be accompanied by a certification from the transferor in the form provided on the reverse side of the Form of Note in </w:t>
      </w:r>
      <w:r>
        <w:rPr>
          <w:rFonts w:ascii="Times New Roman" w:hAnsi="Times New Roman"/>
          <w:sz w:val="20"/>
          <w:u w:val="single"/>
        </w:rPr>
        <w:t>Exhibit A</w:t>
      </w:r>
      <w:r>
        <w:rPr>
          <w:rFonts w:ascii="Times New Roman" w:hAnsi="Times New Roman"/>
          <w:sz w:val="20"/>
        </w:rPr>
        <w:t xml:space="preserve"> for exchange or registration of transfers and, as applicable, delivery of such legal opinions, certifications and other information as may be requested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Restrictions on Transfer of a Definitive Note for a Beneficial Interest in a Global Note</w:t>
      </w:r>
      <w:r>
        <w:rPr>
          <w:rFonts w:ascii="Times New Roman" w:hAnsi="Times New Roman"/>
          <w:sz w:val="20"/>
        </w:rPr>
        <w:t xml:space="preserve">.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Issuer and the Registrar, together with: </w:t>
      </w:r>
    </w:p>
    <w:p>
      <w:pPr>
        <w:pStyle w:val="TextBody"/>
        <w:bidi w:val="0"/>
        <w:spacing w:before="240" w:after="0"/>
        <w:jc w:val="left"/>
        <w:rPr>
          <w:rFonts w:ascii="Times New Roman" w:hAnsi="Times New Roman"/>
          <w:sz w:val="20"/>
        </w:rPr>
      </w:pPr>
      <w:r>
        <w:rPr>
          <w:rFonts w:ascii="Times New Roman" w:hAnsi="Times New Roman"/>
          <w:sz w:val="20"/>
        </w:rPr>
        <w:t xml:space="preserve">(i) a certification from the transferor in the form provided on the reverse side of the Form of Note in </w:t>
      </w:r>
      <w:r>
        <w:rPr>
          <w:rFonts w:ascii="Times New Roman" w:hAnsi="Times New Roman"/>
          <w:sz w:val="20"/>
          <w:u w:val="single"/>
        </w:rPr>
        <w:t>Exhibit A</w:t>
      </w:r>
      <w:r>
        <w:rPr>
          <w:rFonts w:ascii="Times New Roman" w:hAnsi="Times New Roman"/>
          <w:sz w:val="20"/>
        </w:rPr>
        <w:t xml:space="preserve"> for exchange or registration of transfers and, as applicable, delivery of such legal opinions, certifications and other information as may be requested pursuant thereto; and </w:t>
      </w:r>
    </w:p>
    <w:p>
      <w:pPr>
        <w:pStyle w:val="TextBody"/>
        <w:bidi w:val="0"/>
        <w:spacing w:before="240" w:after="0"/>
        <w:jc w:val="left"/>
        <w:rPr>
          <w:rFonts w:ascii="Times New Roman" w:hAnsi="Times New Roman"/>
          <w:sz w:val="20"/>
        </w:rPr>
      </w:pPr>
      <w:r>
        <w:rPr>
          <w:rFonts w:ascii="Times New Roman" w:hAnsi="Times New Roman"/>
          <w:sz w:val="20"/>
        </w:rPr>
        <w:t xml:space="preserve">(ii) written instructions directing the Trustee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Issuer shall issue and the Trustee shall authenticate, upon an Authentication Order, a new applicable Global Note in the appropriate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and Exchange of 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transfer and exchange of Global Notes or beneficial interests therein shall be effected through the Depositary, in accordance with the Indenture (including applicable restrictions on transfer set forth in Section 2.2(d) of this Appendix A, if any) and the procedures of the Depositary therefor. A transferor of a beneficial interest in a Global Note shall deliver to the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w:t>
      </w:r>
    </w:p>
    <w:p>
      <w:pPr>
        <w:pStyle w:val="TextBody"/>
        <w:bidi w:val="0"/>
        <w:spacing w:before="240" w:after="0"/>
        <w:jc w:val="left"/>
        <w:rPr>
          <w:rFonts w:ascii="Times New Roman" w:hAnsi="Times New Roman"/>
          <w:sz w:val="20"/>
        </w:rPr>
      </w:pPr>
      <w:r>
        <w:rPr>
          <w:rFonts w:ascii="Times New Roman" w:hAnsi="Times New Roman"/>
          <w:sz w:val="20"/>
        </w:rPr>
        <w:t xml:space="preserve">(ii) 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any other provisions of this Appendix A (other than the provisions set forth in Section 2.3 of this Appendix A),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Restrictions on Transfer of Global Notes; Voluntary Exchange of Interests in Transfer Restricted Global Notes for Interests in Unrestricted 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Transfers by an owner of a beneficial interest in a Rule 144A Global Note or an IAI Global Note to a transferee who takes delivery of such interest through another Transfer Restricted Global Note shall be made in accordance with the Applicable Procedures and the Restricted Notes Legend and only upon receipt by the Trustee of a certification from the transferor in the form provided on the reverse side of the Form of Note in </w:t>
      </w:r>
      <w:r>
        <w:rPr>
          <w:rFonts w:ascii="Times New Roman" w:hAnsi="Times New Roman"/>
          <w:sz w:val="20"/>
          <w:u w:val="single"/>
        </w:rPr>
        <w:t>Exhibit A</w:t>
      </w:r>
      <w:r>
        <w:rPr>
          <w:rFonts w:ascii="Times New Roman" w:hAnsi="Times New Roman"/>
          <w:sz w:val="20"/>
        </w:rPr>
        <w:t xml:space="preserve"> for exchange or registration of transfers and, as applicable, delivery of such legal opinions, certifications and other information as may be requested pursuant thereto. In addition, in the case of a transfer of a beneficial interest in either a Regulation S Global Note or a Rule 144A Global Note for an interest in an IAI Global Note, the transferee must furnish a signed letter substantially in the form of Exhibit B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During the Distribution Compliance Period, beneficial ownership interests in the Regulation S Global Note may only be sold, pledged or transferred through Euroclear or Clearstream in accordance with the Applicable Procedures, the Restricted Notes Legend on such Regulation S Global Note and any applicable securities laws of any state of the U.S. Prior to the expiration of the Distribution Compliance Period, transfers by an owner of a beneficial interest in the Regulation S Global Note to a transferee who takes delivery of such interest through a Rule 144A Global Note or an IAI Global Note shall be made only in accordance with the Applicable Procedures and the Restricted Notes Legend and upon receipt by the Trustee of a written certification from the transferor of the beneficial interest in the form provided on the reverse side of the Form of Note in Exhibit A for exchange or registration of transfers. Such written certification shall no longer be required after the expiration of the Distribution Compliance Period. Upon the expiration of the Distribution Compliance Period, beneficial ownership interests in the Regulation S Global Note shall be transferable in accordance with applicable law and the other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(iv) Upon the expiration of the Distribution Compliance Period, beneficial interests in the Regulation S Global Note may be exchanged for beneficial interests in an Unrestricted Global Note upon certification in the form provided on the reverse side of the Form of Note in Exhibit A for an exchange from a Regulation S Global Note to an Unrestricted Global Note. </w:t>
      </w:r>
    </w:p>
    <w:p>
      <w:pPr>
        <w:pStyle w:val="TextBody"/>
        <w:bidi w:val="0"/>
        <w:spacing w:before="240" w:after="0"/>
        <w:jc w:val="left"/>
        <w:rPr>
          <w:rFonts w:ascii="Times New Roman" w:hAnsi="Times New Roman"/>
          <w:sz w:val="20"/>
        </w:rPr>
      </w:pPr>
      <w:r>
        <w:rPr>
          <w:rFonts w:ascii="Times New Roman" w:hAnsi="Times New Roman"/>
          <w:sz w:val="20"/>
        </w:rPr>
        <w:t xml:space="preserve">(v) Beneficial interests in a Transfer Restricted Note that is a Rule 144A Global Note or an IAI Global Note may be exchanged for beneficial interests in an Unrestricted Global Note if the Holder certifies in writing to the Registrar that its request for such exchange is in respect of a transfer made in reliance on Rule 144 (such certification to be in the form set forth on the reverse side of the Form of Note in Exhibit A) and/or upon delivery of such legal opinions, certifications and other information as the Issuer or the Trustee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(vi) If no Unrestricted Global Note is outstanding at the time of a transfer contemplated by the preceding clauses (iii) and (iv), the Issuer shall issue and the Trustee shall authenticate, upon an Authentication Order, a new Unrestricted Global Note in the appropriate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Except as permitted by Section 2.2(d) and this Section 2.2(e) of this Appendix A,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Times New Roman" w:hAnsi="Times New Roman"/>
          <w:b/>
          <w:sz w:val="20"/>
        </w:rPr>
        <w:t>Restricted Notes Legend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SECURITY HAS NOT BEEN REGISTERED UNDER THE SECURITIES ACT OF 1933, AS AMENDED (THE “</w:t>
      </w:r>
      <w:r>
        <w:rPr>
          <w:rFonts w:ascii="Times New Roman" w:hAnsi="Times New Roman"/>
          <w:b/>
          <w:sz w:val="20"/>
        </w:rPr>
        <w:t>SECURITIES ACT</w:t>
      </w:r>
      <w:r>
        <w:rPr>
          <w:rFonts w:ascii="Times New Roman" w:hAnsi="Times New Roman"/>
          <w:sz w:val="20"/>
        </w:rPr>
        <w:t xml:space="preserve">”),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INVESTOR ACCOUNT FOR WHICH IT HAS PURCHASED SECURITIES, TO OFFER, SELL OR OTHERWISE TRANSFER SUCH SECURITY, PRIOR TO THE DATE (THE “</w:t>
      </w:r>
      <w:r>
        <w:rPr>
          <w:rFonts w:ascii="Times New Roman" w:hAnsi="Times New Roman"/>
          <w:b/>
          <w:sz w:val="20"/>
        </w:rPr>
        <w:t>RESALE RESTRICTION TERMINATION DATE</w:t>
      </w:r>
      <w:r>
        <w:rPr>
          <w:rFonts w:ascii="Times New Roman" w:hAnsi="Times New Roman"/>
          <w:sz w:val="20"/>
        </w:rPr>
        <w:t>”) THAT IS [</w:t>
      </w:r>
      <w:r>
        <w:rPr>
          <w:rFonts w:ascii="Times New Roman" w:hAnsi="Times New Roman"/>
          <w:i/>
          <w:sz w:val="20"/>
        </w:rPr>
        <w:t>IN THE CASE OF RULE 144A NOTES AND IAI NOTES</w:t>
      </w:r>
      <w:r>
        <w:rPr>
          <w:rFonts w:ascii="Times New Roman" w:hAnsi="Times New Roman"/>
          <w:sz w:val="20"/>
        </w:rPr>
        <w:t>: SIX MONTHS AFTER THE LATER OF THE ORIGINAL ISSUE DATE HEREOF, THE ORIGINAL ISSUE DATE OF THE ISSUANCE OF ANY ADDITIONAL NOTES AND THE LAST DATE ON WHICH THE ISSUER OR ANY AFFILIATE OF THE ISSUER WAS THE OWNER OF THIS SECURITY (OR ANY PREDECESSOR OF SUCH SECURITY)] [</w:t>
      </w:r>
      <w:r>
        <w:rPr>
          <w:rFonts w:ascii="Times New Roman" w:hAnsi="Times New Roman"/>
          <w:i/>
          <w:sz w:val="20"/>
        </w:rPr>
        <w:t>IN THE CASE OF REGULATION S NOTES:</w:t>
      </w:r>
      <w:r>
        <w:rPr>
          <w:rFonts w:ascii="Times New Roman" w:hAnsi="Times New Roman"/>
          <w:sz w:val="20"/>
        </w:rPr>
        <w:t xml:space="preserve">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 THEREOF, (B) PURSUANT TO A REGISTRATION STATEMENT THAT HAS BEEN DECLARED EFFECTIVE UNDER THE SECURITIES ACT, (C) FOR SO LONG AS THE SECURITIES ARE ELIGIBLE FOR RESALE PURSUANT TO RULE 144A UNDER THE SECURITIES ACT (“</w:t>
      </w:r>
      <w:r>
        <w:rPr>
          <w:rFonts w:ascii="Times New Roman" w:hAnsi="Times New Roman"/>
          <w:b/>
          <w:sz w:val="20"/>
        </w:rPr>
        <w:t>RULE 144A</w:t>
      </w:r>
      <w:r>
        <w:rPr>
          <w:rFonts w:ascii="Times New Roman" w:hAnsi="Times New Roman"/>
          <w:sz w:val="20"/>
        </w:rPr>
        <w: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w:t>
      </w:r>
      <w:r>
        <w:rPr>
          <w:rFonts w:ascii="Times New Roman" w:hAnsi="Times New Roman"/>
          <w:b/>
          <w:sz w:val="20"/>
        </w:rPr>
        <w:t>ACCREDITED INVESTOR</w:t>
      </w:r>
      <w:r>
        <w:rPr>
          <w:rFonts w:ascii="Times New Roman" w:hAnsi="Times New Roman"/>
          <w:sz w:val="20"/>
        </w:rPr>
        <w:t>” WITHIN THE MEANING OF RULE 501(a)(1), (2), (3) OR (7) UNDER THE SECURITIES ACT THAT IS NOT A QUALIFIED INSTITUTIONAL BUYER AND THAT IS PURCHASING FOR ITS OWN ACCOUNT OR FOR THE ACCOUNT OF ANOTHER INSTITUTIONAL ACCREDITED INVESTOR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 [</w:t>
      </w:r>
      <w:r>
        <w:rPr>
          <w:rFonts w:ascii="Times New Roman" w:hAnsi="Times New Roman"/>
          <w:i/>
          <w:sz w:val="20"/>
        </w:rPr>
        <w:t>IN THE CASE OF REGULATION S NOTES</w:t>
      </w:r>
      <w:r>
        <w:rPr>
          <w:rFonts w:ascii="Times New Roman" w:hAnsi="Times New Roman"/>
          <w:sz w:val="20"/>
        </w:rPr>
        <w:t xml:space="preserve">: BY ITS ACQUISITION HEREOF, THE HOLDER HEREOF REPRESENTS THAT TT IS NOT A U.S. PERSON NOR IS TT PURCHASING FOR THE ACCOUNT OF A U.S. PERSON AND IS ACQUIRING THIS SECURITY IN AN OFFSHORE TRANSACTION IN ACCORDANCE WITH REGULATION S UNDER THE SECURITIES ACT.] </w:t>
      </w:r>
    </w:p>
    <w:p>
      <w:pPr>
        <w:pStyle w:val="TextBody"/>
        <w:bidi w:val="0"/>
        <w:spacing w:before="240" w:after="0"/>
        <w:jc w:val="left"/>
        <w:rPr>
          <w:rFonts w:ascii="Times New Roman" w:hAnsi="Times New Roman"/>
          <w:sz w:val="20"/>
        </w:rPr>
      </w:pPr>
      <w:r>
        <w:rPr>
          <w:rFonts w:ascii="Times New Roman" w:hAnsi="Times New Roman"/>
          <w:sz w:val="20"/>
        </w:rPr>
        <w:t>Each Definitive Note shall bear the following additional legend (“</w:t>
      </w:r>
      <w:r>
        <w:rPr>
          <w:rFonts w:ascii="Times New Roman" w:hAnsi="Times New Roman"/>
          <w:b/>
          <w:sz w:val="20"/>
        </w:rPr>
        <w:t>Definitive Notes Legend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THE HOLDER WILL DELIVER TO THE REGISTRAR AND TRANSFER AGENT SUCH CERTIFICATES AND OTHER INFORMATION AS SUCH REGISTRAR AND TRANSFER AGENT MAY REASONABLY REQUIRE TO CONFIRM THAT THE TRANSFER COMPLIES WITH THE FOREGOING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Each Global Note shall bear the following additional legend (“</w:t>
      </w:r>
      <w:r>
        <w:rPr>
          <w:rFonts w:ascii="Times New Roman" w:hAnsi="Times New Roman"/>
          <w:b/>
          <w:sz w:val="20"/>
        </w:rPr>
        <w:t>Global Notes Legend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UNLESS TIES CERTIFICATE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 </w:t>
      </w:r>
    </w:p>
    <w:p>
      <w:pPr>
        <w:pStyle w:val="TextBody"/>
        <w:bidi w:val="0"/>
        <w:spacing w:before="240" w:after="0"/>
        <w:jc w:val="left"/>
        <w:rPr>
          <w:rFonts w:ascii="Times New Roman" w:hAnsi="Times New Roman"/>
          <w:sz w:val="20"/>
        </w:rPr>
      </w:pPr>
      <w:r>
        <w:rPr>
          <w:rFonts w:ascii="Times New Roman" w:hAnsi="Times New Roman"/>
          <w:sz w:val="20"/>
        </w:rPr>
        <w:t>Each Note shall bear the following additional legend (“</w:t>
      </w:r>
      <w:r>
        <w:rPr>
          <w:rFonts w:ascii="Times New Roman" w:hAnsi="Times New Roman"/>
          <w:b/>
          <w:sz w:val="20"/>
        </w:rPr>
        <w:t>OID Legend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NOTE IS BEING ISSUED WITH ORIGINAL ISSUE DISCOUNT FOR UNITED STATES FEDERAL INCOME TAX PURPOSES. FOR INFORMATION REGARDING THE ISSUE PRICE, THE TOTAL AMOUNT OF ORIGINAL ISSUE DISCOUNT, THE ISSUE DATE, AND THE YIELD TO MATURITY OF THE NOTE, PLEASE CONTACT KEEFER LEHNER, CHIEF FINANCIAL OFFICER, ADDRESS: 3040 POST OAK BLVD, SUITE 1500, HOUSTON, TEXAS 77056, EMAIL: [*]. </w:t>
      </w:r>
    </w:p>
    <w:p>
      <w:pPr>
        <w:pStyle w:val="TextBody"/>
        <w:bidi w:val="0"/>
        <w:spacing w:before="240" w:after="0"/>
        <w:jc w:val="left"/>
        <w:rPr>
          <w:rFonts w:ascii="Times New Roman" w:hAnsi="Times New Roman"/>
          <w:sz w:val="20"/>
        </w:rPr>
      </w:pPr>
      <w:r>
        <w:rPr>
          <w:rFonts w:ascii="Times New Roman" w:hAnsi="Times New Roman"/>
          <w:sz w:val="20"/>
        </w:rPr>
        <w:t>Each Note shall bear the following additional legend (“</w:t>
      </w:r>
      <w:r>
        <w:rPr>
          <w:rFonts w:ascii="Times New Roman" w:hAnsi="Times New Roman"/>
          <w:b/>
          <w:sz w:val="20"/>
        </w:rPr>
        <w:t>ERISA Legend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BY ITS ACQUISITION OF THIS SECURITY OR ANY INTEREST HEREIN, THE HOLDER THEREOF WILL BE DEEMED TO HAVE REPRESENTED AND WARRANTED THAT EITHER (1) NO PORTION OF THE ASSETS USED BY SUCH HOLDER TO ACQUIRE OR HOLD THIS SECURITY CONSTITUTES THE ASSETS OF (A) AN EMPLOYEE BENEFIT PLAN THAT IS SUBJECT TO TITLE I OF THE U.S. EMPLOYEE RETIREMENT INCOME SECURITY ACT OF 1974, AS AMENDED (“</w:t>
      </w:r>
      <w:r>
        <w:rPr>
          <w:rFonts w:ascii="Times New Roman" w:hAnsi="Times New Roman"/>
          <w:b/>
          <w:sz w:val="20"/>
        </w:rPr>
        <w:t>ERISA</w:t>
      </w:r>
      <w:r>
        <w:rPr>
          <w:rFonts w:ascii="Times New Roman" w:hAnsi="Times New Roman"/>
          <w:sz w:val="20"/>
        </w:rPr>
        <w:t>”), (B) A PLAN, INDIVIDUAL RETIREMENT ACCOUNT OR OTHER ARRANGEMENT THAT IS SUBJECT TO SECTION 4975 OF THE U.S. INTERNAL REVENUE CODE OF 1986, AS AMENDED (THE “</w:t>
      </w:r>
      <w:r>
        <w:rPr>
          <w:rFonts w:ascii="Times New Roman" w:hAnsi="Times New Roman"/>
          <w:b/>
          <w:sz w:val="20"/>
        </w:rPr>
        <w:t>CODE</w:t>
      </w:r>
      <w:r>
        <w:rPr>
          <w:rFonts w:ascii="Times New Roman" w:hAnsi="Times New Roman"/>
          <w:sz w:val="20"/>
        </w:rPr>
        <w:t>”) OR PROVISIONS UNDER ANY OTHER U.S. OR NON-U.S. FEDERAL, STATE, LOCAL OR OTHER LAWS OR REGULATIONS THAT ARE SIMILAR TO SUCH PROVISIONS OF ERISA OR THE CODE (“</w:t>
      </w:r>
      <w:r>
        <w:rPr>
          <w:rFonts w:ascii="Times New Roman" w:hAnsi="Times New Roman"/>
          <w:b/>
          <w:sz w:val="20"/>
        </w:rPr>
        <w:t>SIMILAR LAWS</w:t>
      </w:r>
      <w:r>
        <w:rPr>
          <w:rFonts w:ascii="Times New Roman" w:hAnsi="Times New Roman"/>
          <w:sz w:val="20"/>
        </w:rPr>
        <w:t>”), OR (C) AN ENTITY WHOSE UNDERLYING ASSETS ARE CONSIDERED TO INCLUDE “</w:t>
      </w:r>
      <w:r>
        <w:rPr>
          <w:rFonts w:ascii="Times New Roman" w:hAnsi="Times New Roman"/>
          <w:b/>
          <w:sz w:val="20"/>
        </w:rPr>
        <w:t>PLAN ASSETS</w:t>
      </w:r>
      <w:r>
        <w:rPr>
          <w:rFonts w:ascii="Times New Roman" w:hAnsi="Times New Roman"/>
          <w:sz w:val="20"/>
        </w:rPr>
        <w:t xml:space="preserve">” OF ANY SUCH PLAN, ACCOUNT OR ARRANGEMENT DESCRIBED IN CLAUSE (A) OR (B), PURSUANT TO ERISA OR OTHERWISE, OR (2) THE ACQUISITION AND HOLDING OF THIS SECURITY (OR ANY INTEREST THEREIN) WILL NOT CONSTITUTE A NON-EXEMPT PROHIBITED TRANSACTION UNDER SECTION 406 OF ERISA OR SECTION 4975 OF THE CODE OR A SIMILAR VIOLATION UNDER ANY APPLICABLE SIMILAR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any sale or transfer of a Transfer Restricted Note that is a Definitive Note, the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Registrar that its request for such exchange is in respect of a transfer made in reliance on Rule 144 (such certification to be in the form set forth on the reverse side of the Form of Note in Exhibit A) and provides such legal opinions, certifications and other information as the Issuer or the Trustee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(v) Any Additional Notes sold in a registered offering shall not be required to bear the Restricted Notes Legend.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Cancellation or Adjustment of Global Note</w:t>
      </w:r>
      <w:r>
        <w:rPr>
          <w:rFonts w:ascii="Times New Roman" w:hAnsi="Times New Roman"/>
          <w:sz w:val="20"/>
        </w:rPr>
        <w:t xml:space="preserve">. At such time as all beneficial interests in a Global Note have either been exchanged for Definitive Notes, transferred in exchange for an interest in another Global Note,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(if it is then the Custodian for such Global Note) with respect to such Global Note, by the Registrar or the Custodian, to reflect such reduction.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Obligations with Respect to Transfers and Exchanges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To permit registrations of transfers and exchanges, the Issuer shall execute and the Trustee shall authenticate, Definitive Notes and Global Notes at the Registrar’s request. </w:t>
      </w:r>
    </w:p>
    <w:p>
      <w:pPr>
        <w:pStyle w:val="TextBody"/>
        <w:bidi w:val="0"/>
        <w:spacing w:before="240" w:after="0"/>
        <w:jc w:val="left"/>
        <w:rPr>
          <w:rFonts w:ascii="Times New Roman" w:hAnsi="Times New Roman"/>
          <w:sz w:val="20"/>
        </w:rPr>
      </w:pPr>
      <w:r>
        <w:rPr>
          <w:rFonts w:ascii="Times New Roman" w:hAnsi="Times New Roman"/>
          <w:sz w:val="20"/>
        </w:rPr>
        <w:t xml:space="preserve">(ii) No service charge shall be imposed in connection with any registration of transfer or exchange of the Notes (other than pursuant to Section 2.07 of the Indenture), but the Issuer may require payment of a sum sufficient to cover any documentary, stamp, similar issue or transfer tax or similar governmental charge payable in connection therewith (other than any such documentary, stamp, similar issue or transfer tax or similar governmental charge payable upon exchange or transfer pursuant to Sections 2.10, 3.06, 3.08, 3.09 6.05, and 12.04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(vii) Prior to the due presentation for registration of transfer of any Note, the Issuer, the Trustee, the Paying Agent or the Registrar may deem and treat the person in whose name a Note is registered as the absolute owner of such Note for the purpose of receiving payment of principal, premium, if any, and interest on such Note and for all other purposes whatsoever, whether or not such Note is overdue, and none of the Issuer, the Trustee, the Paying Agent or the Registrar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(viii) All Notes issued upon any transfer or exchange pursuant to the terms of the Indenture shall evidence the same debt and shall be entitled to the same benefits under the Indenture as the Notes surrendered upon such transfer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In order to effect any transfer or exchange of an interest in any Transfer Restricted Note for an interest in a Note that does not bear the Restricted Notes Legend and has not been registered under the Securities Act, if the Registrar so requests or if the Applicable Procedures so require, an Opinion of Counsel, in form reasonably acceptable to the Registrar to the effect that no registration under the Securities Act is required in respect of such exchange or transfer or the re-sale of such interest by the beneficial holder thereof, shall be required to be delivered to the Registrar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Obligation of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(ii) 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Definitive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Global Note deposited with the Depositary or with the Trustee as Custodian pursuant to Section 2.1 may be transferred to the beneficial owners thereof in the form of Definitive Notes in an aggregate principal amount equal to the principal amount of such Global Note, in exchange for such Global Note, only if such transfer complies with Section 2.2 of this Appendix A and (i) the Depositary notifies the Issuer that it is unwilling or unable to continue as a Depositary for such Global Note or at any time the Depositary ceases to be a “clearing agency” registered under the Exchange Act and, in each case, a successor depositary is not appointed by the Issuer within 90 days of such notice or after the Issuer becomes aware of such cessation, or (ii) an Event of Default has occurred and is continuing and the Registrar has received a request from the Depositary. In addition, any Affiliate of the Issuer or any Guarantor that is a beneficial owner of all or part of a Global Note may have such Affiliate’s beneficial interest transferred to such Affiliate in the form of a Definitive Note by providing a written request to the Issuer and the Trustee and such Opinions of Counsel, certificates or other information as may be required by the Indenture or the Issuer 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Global Note that is transferable to the beneficial owners thereof pursuant to this Section 2.3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2.3 shall be executed, authenticated and delivered only in denominations of $1.00 and integral multiples of $1.00 in excess thereof and registered in such names as the Depositary shall direct. Any Definitive Note delivered in exchange for an interest in a Global Note that is a Transfer Restricted Note shall, except as otherwise provided by Section 2.2(e) of this Appendix A, bear the Restricted Notes Legend. </w:t>
      </w:r>
    </w:p>
    <w:p>
      <w:pPr>
        <w:pStyle w:val="TextBody"/>
        <w:bidi w:val="0"/>
        <w:spacing w:before="240" w:after="0"/>
        <w:jc w:val="left"/>
        <w:rPr>
          <w:rFonts w:ascii="Times New Roman" w:hAnsi="Times New Roman"/>
          <w:sz w:val="20"/>
        </w:rPr>
      </w:pPr>
      <w:r>
        <w:rPr>
          <w:rFonts w:ascii="Times New Roman" w:hAnsi="Times New Roman"/>
          <w:sz w:val="20"/>
        </w:rPr>
        <w:t xml:space="preserve">(c) The registered Holder of a Global Note may grant proxies and otherwise authorize any Person, including Agent Members and Persons that may hold interests through Agent Members, to take any action which a Holder is entitled to take under the Indenture or the Notes.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of the occurrence of any of the events specified in Section 2.3(a) of this Appendix A, the Issuer shall promptly make available to the Trustee a reasonable supply of Definitive Notes in fully registered form without interest coupons.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A-11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NOTE </w:t>
      </w:r>
    </w:p>
    <w:p>
      <w:pPr>
        <w:pStyle w:val="TextBody"/>
        <w:bidi w:val="0"/>
        <w:spacing w:before="240" w:after="0"/>
        <w:jc w:val="center"/>
        <w:rPr>
          <w:rFonts w:ascii="Times New Roman" w:hAnsi="Times New Roman"/>
          <w:sz w:val="20"/>
        </w:rPr>
      </w:pPr>
      <w:r>
        <w:rPr>
          <w:rFonts w:ascii="Times New Roman" w:hAnsi="Times New Roman"/>
          <w:sz w:val="20"/>
        </w:rPr>
        <w:t xml:space="preserve">[FORM OF FACE OF NOTE] </w:t>
      </w:r>
    </w:p>
    <w:p>
      <w:pPr>
        <w:pStyle w:val="TextBody"/>
        <w:bidi w:val="0"/>
        <w:spacing w:before="240" w:after="0"/>
        <w:jc w:val="left"/>
        <w:rPr>
          <w:rFonts w:ascii="Times New Roman" w:hAnsi="Times New Roman"/>
          <w:sz w:val="20"/>
        </w:rPr>
      </w:pPr>
      <w:r>
        <w:rPr>
          <w:rFonts w:ascii="Times New Roman" w:hAnsi="Times New Roman"/>
          <w:sz w:val="20"/>
        </w:rPr>
        <w:t xml:space="preserve">[Insert the Restricted Notes Legend, if applicable,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[Insert the Global Notes Legend, if applicable,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[Insert the Definitive Notes Legend, if applicable,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[Insert the OID Legend, if applicable, pursuant to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[Insert the ERISA Legend, if applicable, pursuant to the provisions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[    ] </w:t>
      </w:r>
    </w:p>
    <w:p>
      <w:pPr>
        <w:pStyle w:val="TextBody"/>
        <w:bidi w:val="0"/>
        <w:spacing w:before="0" w:after="0"/>
        <w:jc w:val="right"/>
        <w:rPr>
          <w:rFonts w:ascii="Times New Roman" w:hAnsi="Times New Roman"/>
          <w:sz w:val="20"/>
        </w:rPr>
      </w:pPr>
      <w:r>
        <w:rPr>
          <w:rFonts w:ascii="Times New Roman" w:hAnsi="Times New Roman"/>
          <w:sz w:val="20"/>
        </w:rPr>
        <w:t xml:space="preserve">ISIN [    ]2 </w:t>
      </w:r>
    </w:p>
    <w:p>
      <w:pPr>
        <w:pStyle w:val="TextBody"/>
        <w:bidi w:val="0"/>
        <w:spacing w:before="240" w:after="0"/>
        <w:jc w:val="center"/>
        <w:rPr>
          <w:rFonts w:ascii="Times New Roman" w:hAnsi="Times New Roman"/>
          <w:sz w:val="20"/>
        </w:rPr>
      </w:pPr>
      <w:r>
        <w:rPr>
          <w:rFonts w:ascii="Times New Roman" w:hAnsi="Times New Roman"/>
          <w:sz w:val="20"/>
        </w:rPr>
        <w:t xml:space="preserve">[RULE 144A] [REGULATION S][IAI][GLOBAL] NOTE </w:t>
      </w:r>
    </w:p>
    <w:p>
      <w:pPr>
        <w:pStyle w:val="TextBody"/>
        <w:bidi w:val="0"/>
        <w:spacing w:before="240" w:after="0"/>
        <w:jc w:val="center"/>
        <w:rPr>
          <w:rFonts w:ascii="Times New Roman" w:hAnsi="Times New Roman"/>
          <w:sz w:val="20"/>
        </w:rPr>
      </w:pPr>
      <w:r>
        <w:rPr>
          <w:rFonts w:ascii="Times New Roman" w:hAnsi="Times New Roman"/>
          <w:sz w:val="20"/>
        </w:rPr>
        <w:t xml:space="preserve">Senior Secured Floating Rate Cash / PIK Notes due 2030 </w:t>
      </w:r>
    </w:p>
    <w:p>
      <w:pPr>
        <w:pStyle w:val="TextBody"/>
        <w:bidi w:val="0"/>
        <w:spacing w:before="240" w:after="0"/>
        <w:jc w:val="left"/>
        <w:rPr>
          <w:rFonts w:ascii="Times New Roman" w:hAnsi="Times New Roman"/>
          <w:sz w:val="20"/>
        </w:rPr>
      </w:pPr>
      <w:r>
        <w:rPr>
          <w:rFonts w:ascii="Times New Roman" w:hAnsi="Times New Roman"/>
          <w:sz w:val="20"/>
        </w:rPr>
        <w:t>No. [144A-__] [S-_] [IAI-__][U-__]  [Initially]3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KLX ENERGY SERVICES HOLDINGS, INC. </w:t>
      </w:r>
    </w:p>
    <w:p>
      <w:pPr>
        <w:pStyle w:val="TextBody"/>
        <w:bidi w:val="0"/>
        <w:spacing w:before="240" w:after="0"/>
        <w:jc w:val="left"/>
        <w:rPr>
          <w:rFonts w:ascii="Times New Roman" w:hAnsi="Times New Roman"/>
          <w:sz w:val="20"/>
        </w:rPr>
      </w:pPr>
      <w:r>
        <w:rPr>
          <w:rFonts w:ascii="Times New Roman" w:hAnsi="Times New Roman"/>
          <w:sz w:val="20"/>
        </w:rPr>
        <w:t>promises to pay to [CEDE &amp; CO.]4 [</w:t>
      </w:r>
      <w:r>
        <w:rPr>
          <w:rFonts w:ascii="Times New Roman" w:hAnsi="Times New Roman"/>
          <w:sz w:val="20"/>
          <w:u w:val="single"/>
        </w:rPr>
        <w:t>    </w:t>
      </w:r>
      <w:r>
        <w:rPr>
          <w:rFonts w:ascii="Times New Roman" w:hAnsi="Times New Roman"/>
          <w:sz w:val="20"/>
        </w:rPr>
        <w:t>]or registered assigns the principal sum [set forth on the Schedule of Exchanges of Interests in the Global Note attached hereto]5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Dollars)]6 on [__], 2030.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[__] </w:t>
      </w:r>
    </w:p>
    <w:p>
      <w:pPr>
        <w:pStyle w:val="TextBody"/>
        <w:bidi w:val="0"/>
        <w:spacing w:before="240" w:after="0"/>
        <w:jc w:val="left"/>
        <w:rPr>
          <w:rFonts w:ascii="Times New Roman" w:hAnsi="Times New Roman"/>
          <w:sz w:val="20"/>
        </w:rPr>
      </w:pPr>
      <w:r>
        <w:rPr>
          <w:rFonts w:ascii="Times New Roman" w:hAnsi="Times New Roman"/>
          <w:sz w:val="20"/>
        </w:rPr>
        <w:t xml:space="preserve">Record Dates: The business day prior to the Interest Payment Date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144A Note CUSIP: [__________] </w:t>
            </w:r>
          </w:p>
        </w:tc>
      </w:tr>
    </w:tbl>
    <w:p>
      <w:pPr>
        <w:pStyle w:val="TextBody"/>
        <w:bidi w:val="0"/>
        <w:spacing w:before="0" w:after="0"/>
        <w:jc w:val="left"/>
        <w:rPr>
          <w:rFonts w:ascii="Times New Roman" w:hAnsi="Times New Roman"/>
          <w:sz w:val="20"/>
        </w:rPr>
      </w:pPr>
      <w:r>
        <w:rPr>
          <w:rFonts w:ascii="Times New Roman" w:hAnsi="Times New Roman"/>
          <w:sz w:val="20"/>
        </w:rPr>
        <w:t xml:space="preserve">Rule 144A Note ISIN: [__________] </w:t>
      </w:r>
    </w:p>
    <w:p>
      <w:pPr>
        <w:pStyle w:val="TextBody"/>
        <w:bidi w:val="0"/>
        <w:spacing w:before="0" w:after="0"/>
        <w:jc w:val="left"/>
        <w:rPr>
          <w:rFonts w:ascii="Times New Roman" w:hAnsi="Times New Roman"/>
          <w:sz w:val="20"/>
        </w:rPr>
      </w:pPr>
      <w:r>
        <w:rPr>
          <w:rFonts w:ascii="Times New Roman" w:hAnsi="Times New Roman"/>
          <w:sz w:val="20"/>
        </w:rPr>
        <w:t xml:space="preserve">Regulation S Note CUSIP: [__________] </w:t>
      </w:r>
    </w:p>
    <w:p>
      <w:pPr>
        <w:pStyle w:val="TextBody"/>
        <w:bidi w:val="0"/>
        <w:spacing w:before="0" w:after="0"/>
        <w:jc w:val="left"/>
        <w:rPr>
          <w:rFonts w:ascii="Times New Roman" w:hAnsi="Times New Roman"/>
          <w:sz w:val="20"/>
        </w:rPr>
      </w:pPr>
      <w:r>
        <w:rPr>
          <w:rFonts w:ascii="Times New Roman" w:hAnsi="Times New Roman"/>
          <w:sz w:val="20"/>
        </w:rPr>
        <w:t xml:space="preserve">Regulation S Note ISIN: [__________] </w:t>
      </w:r>
    </w:p>
    <w:p>
      <w:pPr>
        <w:pStyle w:val="TextBody"/>
        <w:bidi w:val="0"/>
        <w:spacing w:before="0" w:after="0"/>
        <w:jc w:val="left"/>
        <w:rPr>
          <w:rFonts w:ascii="Times New Roman" w:hAnsi="Times New Roman"/>
          <w:sz w:val="20"/>
        </w:rPr>
      </w:pPr>
      <w:r>
        <w:rPr>
          <w:rFonts w:ascii="Times New Roman" w:hAnsi="Times New Roman"/>
          <w:sz w:val="20"/>
        </w:rPr>
        <w:t xml:space="preserve">IAI Note CUSIP: [__________] </w:t>
      </w:r>
    </w:p>
    <w:p>
      <w:pPr>
        <w:pStyle w:val="TextBody"/>
        <w:bidi w:val="0"/>
        <w:spacing w:before="0" w:after="0"/>
        <w:jc w:val="left"/>
        <w:rPr>
          <w:rFonts w:ascii="Times New Roman" w:hAnsi="Times New Roman"/>
          <w:sz w:val="20"/>
        </w:rPr>
      </w:pPr>
      <w:r>
        <w:rPr>
          <w:rFonts w:ascii="Times New Roman" w:hAnsi="Times New Roman"/>
          <w:sz w:val="20"/>
        </w:rPr>
        <w:t xml:space="preserve">IAI Note ISIN: [__________]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Global Notes.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Global Notes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Global Notes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in Definitive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the Issuer has rinsed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KLX ENERGY SERVICES HOLDINGS, INC.</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Note] </w:t>
      </w:r>
    </w:p>
    <w:p>
      <w:pPr>
        <w:pStyle w:val="TextBody"/>
        <w:bidi w:val="0"/>
        <w:spacing w:before="240" w:after="0"/>
        <w:jc w:val="center"/>
        <w:rPr>
          <w:rFonts w:ascii="Times New Roman" w:hAnsi="Times New Roman"/>
          <w:sz w:val="20"/>
        </w:rPr>
      </w:pPr>
      <w:r>
        <w:rPr>
          <w:rFonts w:ascii="Times New Roman" w:hAnsi="Times New Roman"/>
          <w:sz w:val="20"/>
        </w:rPr>
        <w:t xml:space="preserve">Senior Secured Floating Rate Cash / PIK Notes due 2030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INTEREST. KLX Energy Services Holdings, Inc., a Delaware corporation (the “</w:t>
      </w:r>
      <w:r>
        <w:rPr>
          <w:rFonts w:ascii="Times New Roman" w:hAnsi="Times New Roman"/>
          <w:b/>
          <w:sz w:val="20"/>
        </w:rPr>
        <w:t>Issuer</w:t>
      </w:r>
      <w:r>
        <w:rPr>
          <w:rFonts w:ascii="Times New Roman" w:hAnsi="Times New Roman"/>
          <w:sz w:val="20"/>
        </w:rPr>
        <w:t xml:space="preserve">”), promises to pay interest on the principal amount of this Note, at any time this Note is an ABR Note, at the Alternate Base Rate and at any time this Note is a SOFR Note, at the applicable Term SOFR for the Interest Period in effect for such Note, plus, in each case (i) the Applicable Margin for Cash Elections and (ii) the Applicable Margin plus 1.00% for PIK Elections until but excluding maturity. At least five (5) Business Days prior to the expiration of the then current Interest Period (with respect to SOFR Notes), or before an Interest Payment Date (with respect to ABR Notes), the Issuer shall deliver an Interest Election Request to the Trustee, the Calculation Agent and the Paying Agent in accordance with Section 2.13(a) of the Indenture electing to convert of continue such Note with such Interest Period duration as the Issuer may specify effective as of the upcoming Interest Payment Date. Interest on the Notes shall accrue from the most recent date to which interest has been paid or, if no interest has been paid, from and including [__], 2026; </w:t>
      </w:r>
      <w:r>
        <w:rPr>
          <w:rFonts w:ascii="Times New Roman" w:hAnsi="Times New Roman"/>
          <w:i/>
          <w:sz w:val="20"/>
        </w:rPr>
        <w:t xml:space="preserve">provided </w:t>
      </w:r>
      <w:r>
        <w:rPr>
          <w:rFonts w:ascii="Times New Roman" w:hAnsi="Times New Roman"/>
          <w:sz w:val="20"/>
        </w:rPr>
        <w:t xml:space="preserve">that the first Interest Payment Date shall be [__], 2026. The Issuer shall pay interest (including post-petition interest in any proceeding under any Debtor Relief Law) on overdue principal and premium, if any, from time to time on demand at the interest rate on the Notes to the extent lawful; it shall pay interest (including post-petition interest in any proceeding under any Debtor Relief Law) on overdue installments of interest (without regard to any applicable grace periods) from time to time on demand at the interest rate on the Notes to the extent lawful. Interest shall be computed on the basis of a year of three hundred sixty (360) days, except that interest computed by reference to the Base Rate in </w:t>
      </w:r>
      <w:r>
        <w:rPr>
          <w:rFonts w:ascii="Times New Roman" w:hAnsi="Times New Roman"/>
          <w:sz w:val="20"/>
          <w:u w:val="single"/>
        </w:rPr>
        <w:t>clause (a)</w:t>
      </w:r>
      <w:r>
        <w:rPr>
          <w:rFonts w:ascii="Times New Roman" w:hAnsi="Times New Roman"/>
          <w:sz w:val="20"/>
        </w:rPr>
        <w:t xml:space="preserve"> of the definition of “Alternate Base Rate” shall be computed on the basis of a year of three hundred sixty-five (365) days (or three hundred sixty-six (366) days in a leap year), and in each case shall be payable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PIK Interest on the Notes, for applicable interest payment periods, will be payable (x) with respect to Notes represented by one or more Global Notes registered in the name of, or held by, DTC or its nominee on the relevant record date, by increasing the principal amount of the outstanding Global Notes by an amount equal to the amount of PIK Interest for the applicable interest period (rounded up to the nearest whole Dollar) and (y) with respect to Notes represented by certificated notes, by issuing Notes in certificated form in an aggregate principal amount equal to the amount of PIK Interest for the applicable period (rounded up to the nearest whole Dollar), and the Trustee will, at the request of the Issuer, authenticate and deliver such Notes in certificated form for original issuance to the Holders on the relevant record date, as shown by the Note Register. Following an increase in the principal amount of the outstanding Global Notes as a result of a PIK Election, the Global Notes will bear interest on such increased principal amount from and after the date of the Interest Payment Date related to such PIK Election. Any Notes issued in certificated form will be dated as of the applicable Interest Payment Date and will bear interest from and after such date. All PIK Notes issued pursuant to a PIK Election will mature on the Maturity Date and will be governed by, and subject to the terms, provisions and conditions of, the Indenture and shall have the same rights and benefits as the Notes issued on the Closing Date.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certificated Notes will be issued with the description “PIK” on the face of such Notes, and references to the “principal amount” of the Notes shall include any increase in the principal amount of the outstanding Notes as a result of any PIK Election. The calculation of PIK Interest will be made by the Calculation Agent, and such calculation and the correctness thereof shall not be a duty or obligation of the Trustee. PIK Interest on the Notes will be paid in denominations of $1.00 and integral multiples of $1.00 in excess thereof (rounded up to the nearest whole dollar).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The Issuer shall pay interest in arrears on the applicable Interest Payment Date, even if such Notes are canceled after such record date and on or before such Interest Payment Date, except as provided in Section 2.13 of the Indenture with respect to defaulted interest. Principal, premium, if any, and interest on the Notes shall be payable at the office or agency of the Issuer maintained for such purpose or, at the option of the Issuer, payment of interest and premium, if any, may be made by check mailed to the Holders at their respective addresses set forth in the Note Register; provided that payment by wire transfer of immediately available funds shall be required with respect to principal, premium, if any, and interest on all Global Notes and all other Notes the Holders of which shall have provided wire transfer instructions to the Issuer or the Paying Agent at least five (5) Business Days prior to the applicable payment date. Such payment shall be in such coin or currency of the United States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AND REGISTRAR. Initially, U.S. Bank Trust Company, National Association will act as the Trustee under the Indenture and as Paying Agent and Registrar. The Issuer may change any Paying Agent or Registrar without notice to the Holders. The Issuer or any of its Restricted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4. INDENTURE. The Issuer issued the Notes under an Amended and Restated Indenture, dated as of [__], 20[ ] (as amended or supplemented from time to time, the “</w:t>
      </w:r>
      <w:r>
        <w:rPr>
          <w:rFonts w:ascii="Times New Roman" w:hAnsi="Times New Roman"/>
          <w:b/>
          <w:sz w:val="20"/>
        </w:rPr>
        <w:t>Indenture</w:t>
      </w:r>
      <w:r>
        <w:rPr>
          <w:rFonts w:ascii="Times New Roman" w:hAnsi="Times New Roman"/>
          <w:sz w:val="20"/>
        </w:rPr>
        <w:t xml:space="preserve">”), among KLX Energy Services Holdings, Inc., the Guarantors named therein, the Trustee, and U.S. Bank Trust Company, National Association, as Collateral Agent. This Note is one of a duly authorized issue of notes of the Issuer designated as its Senior Secured Floating Rate Cash / PIK Notes due 2030. The Issuer shall be entitled to issue Additional Notes pursuant to Sections 2.01, 6.01 and 6.02 of the Indenture. The Notes and any Additional Notes issued under the Indenture shall be treated as a single class of securities under the Indenture. The terms of the Notes include those stated in the Indenture. The Notes are subject to all such terms, and Holders are referred to the Indenture for a statement of such terms. Any term used in this Note that is defined in the Indenture shall have the meaning assigned to it in the Indenture. To the extent any provision of this Note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5. SECURITY. The Notes and the Guarantees will be secured by first-priority Liens and security interests on the Notes Priority Collateral and by second-priority Liens and security interests on the ABL Priority Collateral subject to the terms and conditions set forth in the Indenture, the Security Documents and the Intercreditor Agreements. The Collateral Agent will hold the Collateral in trust for the benefit of the Trustee and the Holders, in each case pursuant to the Security Documents. Each Holder by accepting this Note consents and agrees to the terms of the Security Documents as the same may be in effect or may be amended from time to time in accordance with their terms and the Indenture and authorizes and directs the Collateral Agent to enter into the Security Documents and to perform its obligations and exercise its rights thereunder in accordance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REDEMPTION AND REPURCHASE. The Notes are subject to optional redemption, and may be the subject of a Net Cash Proceeds Offer pursuant to Section 3.08 of the Indenture or a Change of Control Offer pursuant to Section 3.09 of the Indenture, as further described in the Indenture. Beginning September 30, 2026, the Issuer is required to make mandatory quarterly redemptions with respect to the Notes pursuant to Section 3.12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7. DENOMINATIONS, TRANSFER, EXCHANGE. The Notes are in registered form without coupons in denominations of $1.00 and integral multiples of $1.00 in excess thereof. The transfer of Notes may be registered and Notes may be exchanged as provided in the Indenture. The Registrar, the Trustee and the Issuer may require a Holder, among other things, to furnish appropriate endorsements and transfer documents, and Holders shall be required to pay any taxes and fees required by law or permitted by the Indenture. The Issuer need not exchange or register the transfer of any Note or portion of a Note selected for redemption or tendered for repurchase in connection with a Change of Control Offer or a Net Cash Proceeds Offer, except for the unredeemed portion of any Note being redeemed or repurchased in part. </w:t>
      </w:r>
    </w:p>
    <w:p>
      <w:pPr>
        <w:pStyle w:val="TextBody"/>
        <w:bidi w:val="0"/>
        <w:spacing w:before="240" w:after="0"/>
        <w:jc w:val="left"/>
        <w:rPr>
          <w:rFonts w:ascii="Times New Roman" w:hAnsi="Times New Roman"/>
          <w:sz w:val="20"/>
        </w:rPr>
      </w:pPr>
      <w:r>
        <w:rPr>
          <w:rFonts w:ascii="Times New Roman" w:hAnsi="Times New Roman"/>
          <w:sz w:val="20"/>
        </w:rPr>
        <w:t xml:space="preserve">8. PERSONS DEEMED OWNERS. The registered Holder of a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9. AMENDMENT, SUPPLEMENT AND WAIVER. The Indenture, the Guarantees, the Notes, the Security Documents or the Intercreditor Agreements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DEFAULTS AND REMEDIES. The Events of Default relating to the Notes are defined in Section 8.01 of the Indenture. Upon the occurrence of an Event of Default, the rights and obligations of the Issuer, the Guarantors, the Trustee and the Holders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11. AUTHENTICATION. This Note shall not be entitled to any benefit under the Indenture or be valid or obligatory for any purpose until authenticated by the manual signature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12. GOVERNING LAW. THIS NOTE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13. CUSIP AND ISIN NUMBERS. Pursuant to a recommendation promulgated by the Committee on Uniform Security Identification Procedures, the Issuer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shall furnish to any Holder upon written request and without charge a copy of the Indenture. Requests may be made to the Issuer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[KLX Energy Services Holdings, Inc. </w:t>
      </w:r>
    </w:p>
    <w:p>
      <w:pPr>
        <w:pStyle w:val="TextBody"/>
        <w:bidi w:val="0"/>
        <w:spacing w:before="0" w:after="0"/>
        <w:jc w:val="center"/>
        <w:rPr>
          <w:rFonts w:ascii="Times New Roman" w:hAnsi="Times New Roman"/>
          <w:sz w:val="20"/>
        </w:rPr>
      </w:pPr>
      <w:r>
        <w:rPr>
          <w:rFonts w:ascii="Times New Roman" w:hAnsi="Times New Roman"/>
          <w:sz w:val="20"/>
        </w:rPr>
        <w:t xml:space="preserve">3040 Post Oak Blvd, Suite 1500 </w:t>
      </w:r>
    </w:p>
    <w:p>
      <w:pPr>
        <w:pStyle w:val="TextBody"/>
        <w:bidi w:val="0"/>
        <w:spacing w:before="0" w:after="0"/>
        <w:jc w:val="center"/>
        <w:rPr>
          <w:rFonts w:ascii="Times New Roman" w:hAnsi="Times New Roman"/>
          <w:sz w:val="20"/>
        </w:rPr>
      </w:pPr>
      <w:r>
        <w:rPr>
          <w:rFonts w:ascii="Times New Roman" w:hAnsi="Times New Roman"/>
          <w:sz w:val="20"/>
        </w:rPr>
        <w:t xml:space="preserve">Houston, Texas 77056 </w:t>
      </w:r>
    </w:p>
    <w:p>
      <w:pPr>
        <w:pStyle w:val="TextBody"/>
        <w:bidi w:val="0"/>
        <w:spacing w:before="0" w:after="0"/>
        <w:jc w:val="center"/>
        <w:rPr>
          <w:rFonts w:ascii="Times New Roman" w:hAnsi="Times New Roman"/>
          <w:sz w:val="20"/>
        </w:rPr>
      </w:pPr>
      <w:r>
        <w:rPr>
          <w:rFonts w:ascii="Times New Roman" w:hAnsi="Times New Roman"/>
          <w:sz w:val="20"/>
        </w:rPr>
        <w:t xml:space="preserve">Attention: Max Bouthillette, General Counsel </w:t>
      </w:r>
    </w:p>
    <w:p>
      <w:pPr>
        <w:pStyle w:val="TextBody"/>
        <w:bidi w:val="0"/>
        <w:spacing w:before="0" w:after="0"/>
        <w:jc w:val="center"/>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1"/>
        <w:gridCol w:w="126"/>
        <w:gridCol w:w="6098"/>
      </w:tblGrid>
      <w:tr>
        <w:trPr/>
        <w:tc>
          <w:tcPr>
            <w:tcW w:w="398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98" w:type="dxa"/>
            <w:tcBorders/>
            <w:vAlign w:val="center"/>
          </w:tcPr>
          <w:p>
            <w:pPr>
              <w:pStyle w:val="TableContents"/>
              <w:bidi w:val="0"/>
              <w:spacing w:before="0" w:after="283"/>
              <w:jc w:val="left"/>
              <w:rPr>
                <w:sz w:val="4"/>
                <w:szCs w:val="4"/>
              </w:rPr>
            </w:pPr>
            <w:r>
              <w:rPr>
                <w:sz w:val="4"/>
                <w:szCs w:val="4"/>
              </w:rPr>
            </w:r>
          </w:p>
        </w:tc>
      </w:tr>
      <w:tr>
        <w:trPr/>
        <w:tc>
          <w:tcPr>
            <w:tcW w:w="3981" w:type="dxa"/>
            <w:tcBorders/>
          </w:tcPr>
          <w:p>
            <w:pPr>
              <w:pStyle w:val="TableContents"/>
              <w:bidi w:val="0"/>
              <w:spacing w:before="0" w:after="283"/>
              <w:jc w:val="left"/>
              <w:rPr/>
            </w:pPr>
            <w:r>
              <w:rPr/>
              <w:t>      </w:t>
            </w:r>
            <w:r>
              <w:rPr/>
              <w:t>(I) or (we) assign and transfer this Note to:</w:t>
            </w:r>
          </w:p>
        </w:tc>
        <w:tc>
          <w:tcPr>
            <w:tcW w:w="126" w:type="dxa"/>
            <w:tcBorders/>
            <w:vAlign w:val="bottom"/>
          </w:tcPr>
          <w:p>
            <w:pPr>
              <w:pStyle w:val="TableContents"/>
              <w:bidi w:val="0"/>
              <w:spacing w:before="0" w:after="283"/>
              <w:jc w:val="left"/>
              <w:rPr/>
            </w:pPr>
            <w:r>
              <w:rPr/>
              <w:t>  </w:t>
            </w:r>
          </w:p>
        </w:tc>
        <w:tc>
          <w:tcPr>
            <w:tcW w:w="6098" w:type="dxa"/>
            <w:tcBorders/>
          </w:tcPr>
          <w:p>
            <w:pPr>
              <w:pStyle w:val="TableContents"/>
              <w:pBdr>
                <w:bottom w:val="single" w:sz="2" w:space="1" w:color="000000"/>
              </w:pBdr>
              <w:bidi w:val="0"/>
              <w:spacing w:before="0" w:after="20"/>
              <w:jc w:val="left"/>
              <w:rPr/>
            </w:pPr>
            <w:r>
              <w:rPr/>
              <w:t> </w:t>
            </w:r>
          </w:p>
        </w:tc>
      </w:tr>
    </w:tbl>
    <w:tbl>
      <w:tblPr>
        <w:tblW w:w="5000" w:type="pct"/>
        <w:jc w:val="center"/>
        <w:tblInd w:w="0" w:type="dxa"/>
        <w:tblLayout w:type="fixed"/>
        <w:tblCellMar>
          <w:top w:w="0" w:type="dxa"/>
          <w:left w:w="0" w:type="dxa"/>
          <w:bottom w:w="0" w:type="dxa"/>
          <w:right w:w="0" w:type="dxa"/>
        </w:tblCellMar>
      </w:tblPr>
      <w:tblGrid>
        <w:gridCol w:w="5093"/>
        <w:gridCol w:w="123"/>
        <w:gridCol w:w="4989"/>
      </w:tblGrid>
      <w:tr>
        <w:trPr/>
        <w:tc>
          <w:tcPr>
            <w:tcW w:w="509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89" w:type="dxa"/>
            <w:tcBorders/>
            <w:vAlign w:val="center"/>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989" w:type="dxa"/>
            <w:tcBorders/>
          </w:tcPr>
          <w:p>
            <w:pPr>
              <w:pStyle w:val="TableContents"/>
              <w:bidi w:val="0"/>
              <w:spacing w:before="0" w:after="283"/>
              <w:jc w:val="center"/>
              <w:rPr/>
            </w:pPr>
            <w:r>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appoint__________________________________________________________________________________________________ to transfer this Note on the books of the Issuer.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pBdr>
                <w:bottom w:val="single" w:sz="2" w:space="1" w:color="000000"/>
              </w:pBdr>
              <w:bidi w:val="0"/>
              <w:spacing w:before="0" w:after="20"/>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Signature Guarantee*: </w:t>
            </w:r>
            <w:r>
              <w:rPr>
                <w:u w:val="single"/>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TO BE DELIVERED UPON EXCHANGE OR </w:t>
      </w:r>
    </w:p>
    <w:p>
      <w:pPr>
        <w:pStyle w:val="TextBody"/>
        <w:bidi w:val="0"/>
        <w:spacing w:before="0" w:after="0"/>
        <w:jc w:val="center"/>
        <w:rPr>
          <w:rFonts w:ascii="Times New Roman" w:hAnsi="Times New Roman"/>
          <w:sz w:val="20"/>
        </w:rPr>
      </w:pPr>
      <w:r>
        <w:rPr>
          <w:rFonts w:ascii="Times New Roman" w:hAnsi="Times New Roman"/>
          <w:sz w:val="20"/>
        </w:rPr>
        <w:t xml:space="preserve">REGISTRATION OF TRANSFERS OF TRANSFER RESTRICTED NOTES </w:t>
      </w:r>
    </w:p>
    <w:p>
      <w:pPr>
        <w:pStyle w:val="TextBody"/>
        <w:bidi w:val="0"/>
        <w:spacing w:before="240" w:after="0"/>
        <w:jc w:val="left"/>
        <w:rPr>
          <w:rFonts w:ascii="Times New Roman" w:hAnsi="Times New Roman"/>
          <w:sz w:val="20"/>
        </w:rPr>
      </w:pPr>
      <w:r>
        <w:rPr>
          <w:rFonts w:ascii="Times New Roman" w:hAnsi="Times New Roman"/>
          <w:sz w:val="20"/>
        </w:rPr>
        <w:t>This certificate relates to $</w:t>
      </w:r>
      <w:r>
        <w:rPr>
          <w:rFonts w:ascii="Times New Roman" w:hAnsi="Times New Roman"/>
          <w:sz w:val="20"/>
          <w:u w:val="single"/>
        </w:rPr>
        <w:t>    </w:t>
      </w:r>
      <w:r>
        <w:rPr>
          <w:rFonts w:ascii="Times New Roman" w:hAnsi="Times New Roman"/>
          <w:sz w:val="20"/>
        </w:rPr>
        <w:t xml:space="preserve"> principal amount of Notes held in (check applicable space) </w:t>
      </w:r>
      <w:r>
        <w:rPr>
          <w:rFonts w:ascii="Times New Roman" w:hAnsi="Times New Roman"/>
          <w:sz w:val="20"/>
          <w:u w:val="single"/>
        </w:rPr>
        <w:t>    </w:t>
      </w:r>
      <w:r>
        <w:rPr>
          <w:rFonts w:ascii="Times New Roman" w:hAnsi="Times New Roman"/>
          <w:sz w:val="20"/>
        </w:rPr>
        <w:t xml:space="preserve"> book-entry or </w:t>
      </w:r>
      <w:r>
        <w:rPr>
          <w:rFonts w:ascii="Times New Roman" w:hAnsi="Times New Roman"/>
          <w:sz w:val="20"/>
          <w:u w:val="single"/>
        </w:rPr>
        <w:t>    </w:t>
      </w:r>
      <w:r>
        <w:rPr>
          <w:rFonts w:ascii="Times New Roman" w:hAnsi="Times New Roman"/>
          <w:sz w:val="20"/>
        </w:rPr>
        <w:t xml:space="preserve"> definitive form by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(check one box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requested the Trustee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requested the Trustee by written order to exchange or register the transfer of a Note or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any of the Notes evidenced by this certificate, the undersigned confirms that such Notes are being transferred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CHECK ONE BOX BELOW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238"/>
        <w:gridCol w:w="122"/>
        <w:gridCol w:w="243"/>
        <w:gridCol w:w="122"/>
        <w:gridCol w:w="9071"/>
      </w:tblGrid>
      <w:tr>
        <w:trPr/>
        <w:tc>
          <w:tcPr>
            <w:tcW w:w="23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071" w:type="dxa"/>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(1)</w:t>
            </w:r>
          </w:p>
        </w:tc>
        <w:tc>
          <w:tcPr>
            <w:tcW w:w="122"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r>
              <w:rPr/>
              <w:t>to the Issuer or subsidiary thereof; or</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(2)</w:t>
            </w:r>
          </w:p>
        </w:tc>
        <w:tc>
          <w:tcPr>
            <w:tcW w:w="122"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r>
              <w:rPr/>
              <w:t>to the Registrar for registration in the name of the Holder, without transfer; or</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(3)</w:t>
            </w:r>
          </w:p>
        </w:tc>
        <w:tc>
          <w:tcPr>
            <w:tcW w:w="122"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r>
              <w:rPr/>
              <w:t>pursuant to an effective registration statement under the Securities Act of 1933, as amended (the “</w:t>
            </w:r>
            <w:r>
              <w:rPr>
                <w:b/>
              </w:rPr>
              <w:t>Securities Act</w:t>
            </w:r>
            <w:r>
              <w:rPr/>
              <w:t>”); or</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(4)</w:t>
            </w:r>
          </w:p>
        </w:tc>
        <w:tc>
          <w:tcPr>
            <w:tcW w:w="122"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r>
              <w:rPr/>
              <w:t>to a Person that the undersigned reasonably believes is a “qualified institutional buyer” (as defined in Rule 144A under the Securities Act (“</w:t>
            </w:r>
            <w:r>
              <w:rPr>
                <w:b/>
              </w:rPr>
              <w:t>Rule 144A</w:t>
            </w:r>
            <w:r>
              <w:rPr/>
              <w:t>”)) that purchases for its own account or for the account of a qualified institutional buyer and to whom notice is given that such transfer is being made in reliance on Rule 144A, in each case pursuant to and in compliance with Rule 144A; or</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(5)</w:t>
            </w:r>
          </w:p>
        </w:tc>
        <w:tc>
          <w:tcPr>
            <w:tcW w:w="122"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r>
              <w:rPr/>
              <w:t>pursuant to offers and sales to non-U.S. persons that occur outside the United States within the meaning of Regulation S under the Securities Act (and if the transfer is being made prior to the expiration of the Distribution Compliance Period, the Notes shall be held immediately thereafter through Euroclear or Clearstream); or</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(6)</w:t>
            </w:r>
          </w:p>
        </w:tc>
        <w:tc>
          <w:tcPr>
            <w:tcW w:w="122"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r>
              <w:rPr/>
              <w:t>to an institutional “accredited investor” (as defined in Rule 501(a)(1), (2), (3) or (7) under the Securities Act) that has furnished to the Trustee a signed letter containing certain representations and agreements; or</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(7)</w:t>
            </w:r>
          </w:p>
        </w:tc>
        <w:tc>
          <w:tcPr>
            <w:tcW w:w="122"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r>
              <w:rPr/>
              <w:t>pursuant to Rule 144 under the Securities Act; or</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9193"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(8)</w:t>
            </w:r>
          </w:p>
        </w:tc>
        <w:tc>
          <w:tcPr>
            <w:tcW w:w="122" w:type="dxa"/>
            <w:tcBorders/>
            <w:vAlign w:val="bottom"/>
          </w:tcPr>
          <w:p>
            <w:pPr>
              <w:pStyle w:val="TableContents"/>
              <w:bidi w:val="0"/>
              <w:spacing w:before="0" w:after="283"/>
              <w:jc w:val="left"/>
              <w:rPr/>
            </w:pPr>
            <w:r>
              <w:rPr/>
              <w:t>  </w:t>
            </w:r>
          </w:p>
        </w:tc>
        <w:tc>
          <w:tcPr>
            <w:tcW w:w="243" w:type="dxa"/>
            <w:tcBorders/>
          </w:tcPr>
          <w:p>
            <w:pPr>
              <w:pStyle w:val="TableContents"/>
              <w:bidi w:val="0"/>
              <w:spacing w:before="0" w:after="283"/>
              <w:jc w:val="left"/>
              <w:rPr/>
            </w:pPr>
            <w:r>
              <w:rPr/>
              <w:t>☐</w:t>
            </w:r>
          </w:p>
        </w:tc>
        <w:tc>
          <w:tcPr>
            <w:tcW w:w="122" w:type="dxa"/>
            <w:tcBorders/>
            <w:vAlign w:val="bottom"/>
          </w:tcPr>
          <w:p>
            <w:pPr>
              <w:pStyle w:val="TableContents"/>
              <w:bidi w:val="0"/>
              <w:spacing w:before="0" w:after="283"/>
              <w:jc w:val="left"/>
              <w:rPr/>
            </w:pPr>
            <w:r>
              <w:rPr/>
              <w:t>  </w:t>
            </w:r>
          </w:p>
        </w:tc>
        <w:tc>
          <w:tcPr>
            <w:tcW w:w="9071" w:type="dxa"/>
            <w:tcBorders/>
          </w:tcPr>
          <w:p>
            <w:pPr>
              <w:pStyle w:val="TableContents"/>
              <w:bidi w:val="0"/>
              <w:spacing w:before="0" w:after="283"/>
              <w:jc w:val="left"/>
              <w:rPr/>
            </w:pPr>
            <w:r>
              <w:rPr/>
              <w:t>pursuant to another available exemption from registration under the Securities 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one of the boxes is checked, the Trustee will refuse to register any of the Notes evidenced by this certificate in the name of any Person other than the registered Holder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box (5), (6), (7) or (8) is checked, the Issuer or the Trustee may require, prior to registering any such transfer of the Notes, such legal opinions, certifications and other information as the Issuer or the Trustee has reasonably requested to confirm that such transfer is being made pursuant to an exemption from, or in a transaction not subject to, the registration requirements of,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4"/>
        <w:gridCol w:w="110"/>
        <w:gridCol w:w="4455"/>
        <w:gridCol w:w="110"/>
        <w:gridCol w:w="300"/>
        <w:gridCol w:w="110"/>
        <w:gridCol w:w="4636"/>
      </w:tblGrid>
      <w:tr>
        <w:trPr/>
        <w:tc>
          <w:tcPr>
            <w:tcW w:w="484"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4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636" w:type="dxa"/>
            <w:tcBorders/>
            <w:vAlign w:val="center"/>
          </w:tcPr>
          <w:p>
            <w:pPr>
              <w:pStyle w:val="TableContents"/>
              <w:bidi w:val="0"/>
              <w:spacing w:before="0" w:after="283"/>
              <w:jc w:val="left"/>
              <w:rPr>
                <w:sz w:val="4"/>
                <w:szCs w:val="4"/>
              </w:rPr>
            </w:pPr>
            <w:r>
              <w:rPr>
                <w:sz w:val="4"/>
                <w:szCs w:val="4"/>
              </w:rPr>
            </w:r>
          </w:p>
        </w:tc>
      </w:tr>
      <w:tr>
        <w:trPr/>
        <w:tc>
          <w:tcPr>
            <w:tcW w:w="48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455"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00"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36"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Your Signature</w:t>
            </w:r>
          </w:p>
        </w:tc>
      </w:tr>
      <w:tr>
        <w:trPr>
          <w:trHeight w:val="240" w:hRule="atLeast"/>
        </w:trPr>
        <w:tc>
          <w:tcPr>
            <w:tcW w:w="484" w:type="dxa"/>
            <w:tcBorders/>
            <w:vAlign w:val="center"/>
          </w:tcPr>
          <w:p>
            <w:pPr>
              <w:pStyle w:val="TableContents"/>
              <w:bidi w:val="0"/>
              <w:spacing w:before="0" w:after="283"/>
              <w:jc w:val="left"/>
              <w:rPr>
                <w:sz w:val="4"/>
                <w:szCs w:val="4"/>
              </w:rPr>
            </w:pPr>
            <w:r>
              <w:rPr>
                <w:sz w:val="4"/>
                <w:szCs w:val="4"/>
              </w:rPr>
            </w:r>
          </w:p>
        </w:tc>
        <w:tc>
          <w:tcPr>
            <w:tcW w:w="4565" w:type="dxa"/>
            <w:gridSpan w:val="2"/>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4746" w:type="dxa"/>
            <w:gridSpan w:val="2"/>
            <w:tcBorders/>
            <w:vAlign w:val="center"/>
          </w:tcPr>
          <w:p>
            <w:pPr>
              <w:pStyle w:val="TableContents"/>
              <w:bidi w:val="0"/>
              <w:spacing w:before="0" w:after="283"/>
              <w:jc w:val="left"/>
              <w:rPr>
                <w:sz w:val="4"/>
                <w:szCs w:val="4"/>
              </w:rPr>
            </w:pPr>
            <w:r>
              <w:rPr>
                <w:sz w:val="4"/>
                <w:szCs w:val="4"/>
              </w:rPr>
            </w:r>
          </w:p>
        </w:tc>
      </w:tr>
      <w:tr>
        <w:trPr/>
        <w:tc>
          <w:tcPr>
            <w:tcW w:w="484" w:type="dxa"/>
            <w:tcBorders/>
            <w:vAlign w:val="bottom"/>
          </w:tcPr>
          <w:p>
            <w:pPr>
              <w:pStyle w:val="TableContents"/>
              <w:bidi w:val="0"/>
              <w:spacing w:before="0" w:after="283"/>
              <w:jc w:val="left"/>
              <w:rPr/>
            </w:pPr>
            <w:r>
              <w:rPr/>
              <w:t>Date:</w:t>
            </w:r>
          </w:p>
        </w:tc>
        <w:tc>
          <w:tcPr>
            <w:tcW w:w="110" w:type="dxa"/>
            <w:tcBorders/>
            <w:vAlign w:val="bottom"/>
          </w:tcPr>
          <w:p>
            <w:pPr>
              <w:pStyle w:val="TableContents"/>
              <w:bidi w:val="0"/>
              <w:spacing w:before="0" w:after="283"/>
              <w:jc w:val="left"/>
              <w:rPr/>
            </w:pPr>
            <w:r>
              <w:rPr/>
              <w:t> </w:t>
            </w:r>
          </w:p>
        </w:tc>
        <w:tc>
          <w:tcPr>
            <w:tcW w:w="4455" w:type="dxa"/>
            <w:tcBorders/>
            <w:vAlign w:val="bottom"/>
          </w:tcPr>
          <w:p>
            <w:pPr>
              <w:pStyle w:val="TableContents"/>
              <w:pBdr>
                <w:bottom w:val="single" w:sz="2" w:space="1" w:color="000000"/>
              </w:pBdr>
              <w:bidi w:val="0"/>
              <w:spacing w:before="0" w:after="20"/>
              <w:jc w:val="left"/>
              <w:rPr/>
            </w:pPr>
            <w:r>
              <w:rPr/>
              <w:t> </w:t>
            </w:r>
          </w:p>
        </w:tc>
        <w:tc>
          <w:tcPr>
            <w:tcW w:w="11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36" w:type="dxa"/>
            <w:tcBorders/>
            <w:vAlign w:val="bottom"/>
          </w:tcPr>
          <w:p>
            <w:pPr>
              <w:pStyle w:val="TableContents"/>
              <w:pBdr>
                <w:bottom w:val="single" w:sz="2" w:space="1" w:color="000000"/>
              </w:pBdr>
              <w:bidi w:val="0"/>
              <w:spacing w:before="0" w:after="20"/>
              <w:jc w:val="left"/>
              <w:rPr/>
            </w:pPr>
            <w:r>
              <w:rPr/>
              <w:t> </w:t>
            </w:r>
          </w:p>
        </w:tc>
      </w:tr>
      <w:tr>
        <w:trPr/>
        <w:tc>
          <w:tcPr>
            <w:tcW w:w="484"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4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636" w:type="dxa"/>
            <w:tcBorders/>
            <w:vAlign w:val="bottom"/>
          </w:tcPr>
          <w:p>
            <w:pPr>
              <w:pStyle w:val="TableContents"/>
              <w:bidi w:val="0"/>
              <w:spacing w:before="0" w:after="283"/>
              <w:jc w:val="left"/>
              <w:rPr/>
            </w:pPr>
            <w:r>
              <w:rPr/>
              <w:t>Signature of Signature Guarantor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TO BE COMPLETED BY PURCHASER IF (4) ABOVE IS CHECKED.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5"/>
        <w:gridCol w:w="124"/>
        <w:gridCol w:w="4610"/>
        <w:gridCol w:w="124"/>
        <w:gridCol w:w="102"/>
        <w:gridCol w:w="124"/>
        <w:gridCol w:w="4626"/>
      </w:tblGrid>
      <w:tr>
        <w:trPr/>
        <w:tc>
          <w:tcPr>
            <w:tcW w:w="49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61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626" w:type="dxa"/>
            <w:tcBorders/>
            <w:vAlign w:val="center"/>
          </w:tcPr>
          <w:p>
            <w:pPr>
              <w:pStyle w:val="TableContents"/>
              <w:bidi w:val="0"/>
              <w:spacing w:before="0" w:after="283"/>
              <w:jc w:val="left"/>
              <w:rPr>
                <w:sz w:val="4"/>
                <w:szCs w:val="4"/>
              </w:rPr>
            </w:pPr>
            <w:r>
              <w:rPr>
                <w:sz w:val="4"/>
                <w:szCs w:val="4"/>
              </w:rPr>
            </w:r>
          </w:p>
        </w:tc>
      </w:tr>
      <w:tr>
        <w:trPr/>
        <w:tc>
          <w:tcPr>
            <w:tcW w:w="495" w:type="dxa"/>
            <w:tcBorders/>
          </w:tcPr>
          <w:p>
            <w:pPr>
              <w:pStyle w:val="TableContents"/>
              <w:bidi w:val="0"/>
              <w:spacing w:before="0" w:after="283"/>
              <w:jc w:val="left"/>
              <w:rPr/>
            </w:pPr>
            <w:r>
              <w:rPr/>
              <w:t>Date:</w:t>
            </w:r>
          </w:p>
        </w:tc>
        <w:tc>
          <w:tcPr>
            <w:tcW w:w="124" w:type="dxa"/>
            <w:tcBorders/>
            <w:vAlign w:val="bottom"/>
          </w:tcPr>
          <w:p>
            <w:pPr>
              <w:pStyle w:val="TableContents"/>
              <w:bidi w:val="0"/>
              <w:spacing w:before="0" w:after="283"/>
              <w:jc w:val="left"/>
              <w:rPr/>
            </w:pPr>
            <w:r>
              <w:rPr/>
              <w:t>  </w:t>
            </w:r>
          </w:p>
        </w:tc>
        <w:tc>
          <w:tcPr>
            <w:tcW w:w="4610" w:type="dxa"/>
            <w:tcBorders/>
          </w:tcPr>
          <w:p>
            <w:pPr>
              <w:pStyle w:val="TableContents"/>
              <w:pBdr>
                <w:bottom w:val="single" w:sz="2" w:space="1" w:color="000000"/>
              </w:pBdr>
              <w:bidi w:val="0"/>
              <w:spacing w:before="0" w:after="20"/>
              <w:jc w:val="left"/>
              <w:rPr/>
            </w:pPr>
            <w:r>
              <w:rPr/>
              <w:t> </w:t>
            </w:r>
          </w:p>
        </w:tc>
        <w:tc>
          <w:tcPr>
            <w:tcW w:w="124"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26" w:type="dxa"/>
            <w:tcBorders/>
          </w:tcPr>
          <w:p>
            <w:pPr>
              <w:pStyle w:val="TableContents"/>
              <w:pBdr>
                <w:bottom w:val="single" w:sz="2" w:space="1" w:color="000000"/>
              </w:pBdr>
              <w:bidi w:val="0"/>
              <w:spacing w:before="0" w:after="20"/>
              <w:jc w:val="left"/>
              <w:rPr/>
            </w:pPr>
            <w:r>
              <w:rPr/>
              <w:t> </w:t>
            </w:r>
          </w:p>
        </w:tc>
      </w:tr>
      <w:tr>
        <w:trPr/>
        <w:tc>
          <w:tcPr>
            <w:tcW w:w="49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26" w:type="dxa"/>
            <w:tcBorders/>
          </w:tcPr>
          <w:p>
            <w:pPr>
              <w:pStyle w:val="TableContents"/>
              <w:bidi w:val="0"/>
              <w:spacing w:before="0" w:after="283"/>
              <w:jc w:val="left"/>
              <w:rPr/>
            </w:pPr>
            <w:r>
              <w:rPr/>
              <w:t>NOTICE: To be executed by an executive officer</w:t>
            </w:r>
          </w:p>
        </w:tc>
      </w:tr>
      <w:tr>
        <w:trPr/>
        <w:tc>
          <w:tcPr>
            <w:tcW w:w="49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26" w:type="dxa"/>
            <w:tcBorders/>
          </w:tcPr>
          <w:p>
            <w:pPr>
              <w:pStyle w:val="TableContents"/>
              <w:bidi w:val="0"/>
              <w:spacing w:before="0" w:after="283"/>
              <w:jc w:val="left"/>
              <w:rPr/>
            </w:pPr>
            <w:r>
              <w:rPr/>
              <w:t>Name:</w:t>
            </w:r>
          </w:p>
        </w:tc>
      </w:tr>
      <w:tr>
        <w:trPr/>
        <w:tc>
          <w:tcPr>
            <w:tcW w:w="49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26"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 Guarantee*: _______________________________________________</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COMPLETED IF THE HOLDER REQUIRES AN EXCHANGE FROM A REGULATION S GLOBAL NOTE TO AN UNRESTRICTED GLOBAL NOTE, PURSUANT TO SECTION 2.2(d)(iii) OF APPENDIX A TO THE INDENTURE7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and warrants that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not a dealer (as defined in the Securities Act) and is a non-U.S. person (within the meaning of Regulation S under the Securities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the meaning of Regulation S under the Securities Act) who purchased interests in the Notes pursuant to an exemption from, or in a transaction not subject to, the registration requirements under the Securities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a dealer (as defined in the Securities Act) and the interest of the undersigned in this Note does not constitute the whole or a part of an unsold allotment to or subscription by such dealer for the Notes.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1"/>
        <w:gridCol w:w="123"/>
        <w:gridCol w:w="4622"/>
        <w:gridCol w:w="123"/>
        <w:gridCol w:w="110"/>
        <w:gridCol w:w="123"/>
        <w:gridCol w:w="4613"/>
      </w:tblGrid>
      <w:tr>
        <w:trPr/>
        <w:tc>
          <w:tcPr>
            <w:tcW w:w="49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62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613" w:type="dxa"/>
            <w:tcBorders/>
            <w:vAlign w:val="center"/>
          </w:tcPr>
          <w:p>
            <w:pPr>
              <w:pStyle w:val="TableContents"/>
              <w:bidi w:val="0"/>
              <w:spacing w:before="0" w:after="283"/>
              <w:jc w:val="left"/>
              <w:rPr>
                <w:sz w:val="4"/>
                <w:szCs w:val="4"/>
              </w:rPr>
            </w:pPr>
            <w:r>
              <w:rPr>
                <w:sz w:val="4"/>
                <w:szCs w:val="4"/>
              </w:rPr>
            </w:r>
          </w:p>
        </w:tc>
      </w:tr>
      <w:tr>
        <w:trPr/>
        <w:tc>
          <w:tcPr>
            <w:tcW w:w="491" w:type="dxa"/>
            <w:tcBorders/>
            <w:vAlign w:val="bottom"/>
          </w:tcPr>
          <w:p>
            <w:pPr>
              <w:pStyle w:val="TableContents"/>
              <w:bidi w:val="0"/>
              <w:spacing w:before="0" w:after="283"/>
              <w:jc w:val="left"/>
              <w:rPr/>
            </w:pPr>
            <w:r>
              <w:rPr/>
              <w:t>Date:</w:t>
            </w:r>
          </w:p>
        </w:tc>
        <w:tc>
          <w:tcPr>
            <w:tcW w:w="123" w:type="dxa"/>
            <w:tcBorders/>
            <w:vAlign w:val="bottom"/>
          </w:tcPr>
          <w:p>
            <w:pPr>
              <w:pStyle w:val="TableContents"/>
              <w:bidi w:val="0"/>
              <w:spacing w:before="0" w:after="283"/>
              <w:jc w:val="left"/>
              <w:rPr/>
            </w:pPr>
            <w:r>
              <w:rPr/>
              <w:t>  </w:t>
            </w:r>
          </w:p>
        </w:tc>
        <w:tc>
          <w:tcPr>
            <w:tcW w:w="4622" w:type="dxa"/>
            <w:tcBorders/>
            <w:vAlign w:val="bottom"/>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613" w:type="dxa"/>
            <w:tcBorders/>
            <w:vAlign w:val="bottom"/>
          </w:tcPr>
          <w:p>
            <w:pPr>
              <w:pStyle w:val="TableContents"/>
              <w:pBdr>
                <w:bottom w:val="single" w:sz="2" w:space="1" w:color="000000"/>
              </w:pBdr>
              <w:bidi w:val="0"/>
              <w:spacing w:before="0" w:after="20"/>
              <w:jc w:val="left"/>
              <w:rPr/>
            </w:pPr>
            <w:r>
              <w:rPr/>
              <w:t> </w:t>
            </w:r>
          </w:p>
        </w:tc>
      </w:tr>
      <w:tr>
        <w:trPr/>
        <w:tc>
          <w:tcPr>
            <w:tcW w:w="49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622"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4613" w:type="dxa"/>
            <w:tcBorders/>
            <w:vAlign w:val="bottom"/>
          </w:tcPr>
          <w:p>
            <w:pPr>
              <w:pStyle w:val="TableContents"/>
              <w:bidi w:val="0"/>
              <w:spacing w:before="0" w:after="283"/>
              <w:jc w:val="center"/>
              <w:rPr/>
            </w:pPr>
            <w:r>
              <w:rPr/>
              <w:t>Your Signature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only for Regulation S Global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 want to elect to have this Note purchased by the Issuer pursuant to Section 3.09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Note purchased by the Issuer pursuant to Section 3.09 of the Indenture, state the amount you elect to have purchased: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51"/>
        <w:gridCol w:w="60"/>
        <w:gridCol w:w="3271"/>
      </w:tblGrid>
      <w:tr>
        <w:trPr/>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751" w:type="dxa"/>
            <w:tcBorders/>
          </w:tcPr>
          <w:p>
            <w:pPr>
              <w:pStyle w:val="TableContents"/>
              <w:bidi w:val="0"/>
              <w:spacing w:before="0" w:after="283"/>
              <w:jc w:val="left"/>
              <w:rPr/>
            </w:pPr>
            <w:r>
              <w:rPr/>
              <w:t>$_______</w:t>
            </w:r>
          </w:p>
        </w:tc>
        <w:tc>
          <w:tcPr>
            <w:tcW w:w="60" w:type="dxa"/>
            <w:tcBorders/>
            <w:vAlign w:val="bottom"/>
          </w:tcPr>
          <w:p>
            <w:pPr>
              <w:pStyle w:val="TableContents"/>
              <w:bidi w:val="0"/>
              <w:spacing w:before="0" w:after="283"/>
              <w:jc w:val="left"/>
              <w:rPr/>
            </w:pPr>
            <w:r>
              <w:rPr/>
              <w:t> </w:t>
            </w:r>
          </w:p>
        </w:tc>
        <w:tc>
          <w:tcPr>
            <w:tcW w:w="3271" w:type="dxa"/>
            <w:tcBorders/>
          </w:tcPr>
          <w:p>
            <w:pPr>
              <w:pStyle w:val="TableContents"/>
              <w:bidi w:val="0"/>
              <w:spacing w:before="0" w:after="283"/>
              <w:jc w:val="left"/>
              <w:rPr/>
            </w:pPr>
            <w:r>
              <w:rPr/>
              <w:t xml:space="preserve">(integral multiples of $1.00, </w:t>
            </w:r>
            <w:r>
              <w:rPr>
                <w:i/>
              </w:rPr>
              <w:t xml:space="preserve">provided </w:t>
            </w:r>
            <w:r>
              <w:rPr/>
              <w:t>that the unpurchased portion must be in a minimum principal amount of $1.00)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pBdr>
                <w:bottom w:val="single" w:sz="2" w:space="1" w:color="000000"/>
              </w:pBdr>
              <w:bidi w:val="0"/>
              <w:spacing w:before="0" w:after="20"/>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tbl>
      <w:tblPr>
        <w:tblW w:w="2000" w:type="pct"/>
        <w:jc w:val="right"/>
        <w:tblInd w:w="0" w:type="dxa"/>
        <w:tblLayout w:type="fixed"/>
        <w:tblCellMar>
          <w:top w:w="0" w:type="dxa"/>
          <w:left w:w="0" w:type="dxa"/>
          <w:bottom w:w="0" w:type="dxa"/>
          <w:right w:w="0" w:type="dxa"/>
        </w:tblCellMar>
      </w:tblPr>
      <w:tblGrid>
        <w:gridCol w:w="2352"/>
        <w:gridCol w:w="60"/>
        <w:gridCol w:w="1670"/>
      </w:tblGrid>
      <w:tr>
        <w:trPr/>
        <w:tc>
          <w:tcPr>
            <w:tcW w:w="2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2352" w:type="dxa"/>
            <w:tcBorders/>
          </w:tcPr>
          <w:p>
            <w:pPr>
              <w:pStyle w:val="TableContents"/>
              <w:bidi w:val="0"/>
              <w:spacing w:before="0" w:after="283"/>
              <w:jc w:val="left"/>
              <w:rPr/>
            </w:pPr>
            <w:r>
              <w:rPr/>
              <w:t>Tax Identification No.:</w:t>
            </w:r>
          </w:p>
        </w:tc>
        <w:tc>
          <w:tcPr>
            <w:tcW w:w="60" w:type="dxa"/>
            <w:tcBorders/>
            <w:vAlign w:val="bottom"/>
          </w:tcPr>
          <w:p>
            <w:pPr>
              <w:pStyle w:val="TableContents"/>
              <w:bidi w:val="0"/>
              <w:spacing w:before="0" w:after="283"/>
              <w:jc w:val="left"/>
              <w:rPr/>
            </w:pPr>
            <w:r>
              <w:rPr/>
              <w:t> </w:t>
            </w:r>
          </w:p>
        </w:tc>
        <w:tc>
          <w:tcPr>
            <w:tcW w:w="167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 Guarantee*: _________________________________________________________</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initial outstanding principal amount of this Global Note is $ . 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2"/>
        <w:gridCol w:w="103"/>
        <w:gridCol w:w="1860"/>
        <w:gridCol w:w="103"/>
        <w:gridCol w:w="1997"/>
        <w:gridCol w:w="208"/>
        <w:gridCol w:w="1600"/>
        <w:gridCol w:w="120"/>
        <w:gridCol w:w="1832"/>
      </w:tblGrid>
      <w:tr>
        <w:trPr/>
        <w:tc>
          <w:tcPr>
            <w:tcW w:w="2382"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23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Exchange</w:t>
            </w:r>
          </w:p>
        </w:tc>
        <w:tc>
          <w:tcPr>
            <w:tcW w:w="103"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decrease</w:t>
            </w:r>
          </w:p>
          <w:p>
            <w:pPr>
              <w:pStyle w:val="TableContents"/>
              <w:bidi w:val="0"/>
              <w:spacing w:before="0" w:after="0"/>
              <w:jc w:val="center"/>
              <w:rPr>
                <w:rFonts w:ascii="Times New Roman" w:hAnsi="Times New Roman"/>
                <w:b/>
                <w:sz w:val="16"/>
              </w:rPr>
            </w:pPr>
            <w:r>
              <w:rPr>
                <w:rFonts w:ascii="Times New Roman" w:hAnsi="Times New Roman"/>
                <w:b/>
                <w:sz w:val="16"/>
              </w:rPr>
              <w:t>in Principal Amount</w:t>
            </w:r>
          </w:p>
          <w:p>
            <w:pPr>
              <w:pStyle w:val="TableContents"/>
              <w:bidi w:val="0"/>
              <w:spacing w:before="0" w:after="20"/>
              <w:jc w:val="center"/>
              <w:rPr>
                <w:rFonts w:ascii="Times New Roman" w:hAnsi="Times New Roman"/>
                <w:b/>
                <w:sz w:val="16"/>
              </w:rPr>
            </w:pPr>
            <w:r>
              <w:rPr>
                <w:rFonts w:ascii="Times New Roman" w:hAnsi="Times New Roman"/>
                <w:b/>
                <w:sz w:val="16"/>
              </w:rPr>
              <w:t>of this Global Note</w:t>
            </w:r>
          </w:p>
        </w:tc>
        <w:tc>
          <w:tcPr>
            <w:tcW w:w="103" w:type="dxa"/>
            <w:tcBorders/>
            <w:vAlign w:val="bottom"/>
          </w:tcPr>
          <w:p>
            <w:pPr>
              <w:pStyle w:val="TableContents"/>
              <w:bidi w:val="0"/>
              <w:spacing w:before="0" w:after="283"/>
              <w:jc w:val="left"/>
              <w:rPr/>
            </w:pPr>
            <w:r>
              <w:rPr/>
              <w:t> </w:t>
            </w:r>
          </w:p>
        </w:tc>
        <w:tc>
          <w:tcPr>
            <w:tcW w:w="199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 increase</w:t>
            </w:r>
          </w:p>
          <w:p>
            <w:pPr>
              <w:pStyle w:val="TableContents"/>
              <w:bidi w:val="0"/>
              <w:spacing w:before="0" w:after="0"/>
              <w:jc w:val="center"/>
              <w:rPr>
                <w:rFonts w:ascii="Times New Roman" w:hAnsi="Times New Roman"/>
                <w:b/>
                <w:sz w:val="16"/>
              </w:rPr>
            </w:pPr>
            <w:r>
              <w:rPr>
                <w:rFonts w:ascii="Times New Roman" w:hAnsi="Times New Roman"/>
                <w:b/>
                <w:sz w:val="16"/>
              </w:rPr>
              <w:t>in Principal Amount</w:t>
            </w:r>
          </w:p>
          <w:p>
            <w:pPr>
              <w:pStyle w:val="TableContents"/>
              <w:bidi w:val="0"/>
              <w:spacing w:before="0" w:after="20"/>
              <w:jc w:val="center"/>
              <w:rPr>
                <w:rFonts w:ascii="Times New Roman" w:hAnsi="Times New Roman"/>
                <w:b/>
                <w:sz w:val="16"/>
              </w:rPr>
            </w:pPr>
            <w:r>
              <w:rPr>
                <w:rFonts w:ascii="Times New Roman" w:hAnsi="Times New Roman"/>
                <w:b/>
                <w:sz w:val="16"/>
              </w:rPr>
              <w:t>of this Global Note</w:t>
            </w:r>
          </w:p>
        </w:tc>
        <w:tc>
          <w:tcPr>
            <w:tcW w:w="208" w:type="dxa"/>
            <w:tcBorders/>
            <w:vAlign w:val="bottom"/>
          </w:tcPr>
          <w:p>
            <w:pPr>
              <w:pStyle w:val="TableContents"/>
              <w:bidi w:val="0"/>
              <w:spacing w:before="0" w:after="283"/>
              <w:jc w:val="left"/>
              <w:rPr/>
            </w:pPr>
            <w:r>
              <w:rPr/>
              <w:t>  </w:t>
            </w:r>
          </w:p>
        </w:tc>
        <w:tc>
          <w:tcPr>
            <w:tcW w:w="160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 Amount of</w:t>
            </w:r>
          </w:p>
          <w:p>
            <w:pPr>
              <w:pStyle w:val="TableContents"/>
              <w:bidi w:val="0"/>
              <w:spacing w:before="0" w:after="0"/>
              <w:jc w:val="center"/>
              <w:rPr>
                <w:rFonts w:ascii="Times New Roman" w:hAnsi="Times New Roman"/>
                <w:b/>
                <w:sz w:val="16"/>
              </w:rPr>
            </w:pPr>
            <w:r>
              <w:rPr>
                <w:rFonts w:ascii="Times New Roman" w:hAnsi="Times New Roman"/>
                <w:b/>
                <w:sz w:val="16"/>
              </w:rPr>
              <w:t>this Global Note</w:t>
            </w:r>
          </w:p>
          <w:p>
            <w:pPr>
              <w:pStyle w:val="TableContents"/>
              <w:bidi w:val="0"/>
              <w:spacing w:before="0" w:after="0"/>
              <w:jc w:val="center"/>
              <w:rPr>
                <w:rFonts w:ascii="Times New Roman" w:hAnsi="Times New Roman"/>
                <w:b/>
                <w:sz w:val="16"/>
              </w:rPr>
            </w:pPr>
            <w:r>
              <w:rPr>
                <w:rFonts w:ascii="Times New Roman" w:hAnsi="Times New Roman"/>
                <w:b/>
                <w:sz w:val="16"/>
              </w:rPr>
              <w:t>following such</w:t>
            </w:r>
          </w:p>
          <w:p>
            <w:pPr>
              <w:pStyle w:val="TableContents"/>
              <w:bidi w:val="0"/>
              <w:spacing w:before="0" w:after="20"/>
              <w:jc w:val="center"/>
              <w:rPr>
                <w:rFonts w:ascii="Times New Roman" w:hAnsi="Times New Roman"/>
                <w:b/>
                <w:sz w:val="16"/>
              </w:rPr>
            </w:pPr>
            <w:r>
              <w:rPr>
                <w:rFonts w:ascii="Times New Roman" w:hAnsi="Times New Roman"/>
                <w:b/>
                <w:sz w:val="16"/>
              </w:rPr>
              <w:t>decrease or increase</w:t>
            </w:r>
          </w:p>
        </w:tc>
        <w:tc>
          <w:tcPr>
            <w:tcW w:w="120" w:type="dxa"/>
            <w:tcBorders/>
            <w:vAlign w:val="bottom"/>
          </w:tcPr>
          <w:p>
            <w:pPr>
              <w:pStyle w:val="TableContents"/>
              <w:bidi w:val="0"/>
              <w:spacing w:before="0" w:after="283"/>
              <w:jc w:val="left"/>
              <w:rPr/>
            </w:pPr>
            <w:r>
              <w:rPr/>
              <w:t>  </w:t>
            </w:r>
          </w:p>
        </w:tc>
        <w:tc>
          <w:tcPr>
            <w:tcW w:w="183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 signatory</w:t>
              <w:br/>
              <w:t>of Trustee,</w:t>
            </w:r>
          </w:p>
          <w:p>
            <w:pPr>
              <w:pStyle w:val="TableContents"/>
              <w:bidi w:val="0"/>
              <w:spacing w:before="0" w:after="0"/>
              <w:jc w:val="center"/>
              <w:rPr>
                <w:rFonts w:ascii="Times New Roman" w:hAnsi="Times New Roman"/>
                <w:b/>
                <w:sz w:val="16"/>
              </w:rPr>
            </w:pPr>
            <w:r>
              <w:rPr>
                <w:rFonts w:ascii="Times New Roman" w:hAnsi="Times New Roman"/>
                <w:b/>
                <w:sz w:val="16"/>
              </w:rPr>
              <w:t>Depositary or</w:t>
            </w:r>
          </w:p>
          <w:p>
            <w:pPr>
              <w:pStyle w:val="TableContents"/>
              <w:bidi w:val="0"/>
              <w:spacing w:before="0" w:after="20"/>
              <w:jc w:val="center"/>
              <w:rPr>
                <w:rFonts w:ascii="Times New Roman" w:hAnsi="Times New Roman"/>
                <w:b/>
                <w:sz w:val="16"/>
              </w:rPr>
            </w:pPr>
            <w:r>
              <w:rPr>
                <w:rFonts w:ascii="Times New Roman" w:hAnsi="Times New Roman"/>
                <w:b/>
                <w:sz w:val="16"/>
              </w:rPr>
              <w:t>Custodian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schedule should be included only if the Note is issued in global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TRANSFEREE LETTER OF REPRESENTATION FOR TRANSFERS TO IAI’S </w:t>
      </w:r>
    </w:p>
    <w:p>
      <w:pPr>
        <w:pStyle w:val="TextBody"/>
        <w:bidi w:val="0"/>
        <w:spacing w:before="240" w:after="0"/>
        <w:jc w:val="left"/>
        <w:rPr>
          <w:rFonts w:ascii="Times New Roman" w:hAnsi="Times New Roman"/>
          <w:sz w:val="20"/>
        </w:rPr>
      </w:pPr>
      <w:r>
        <w:rPr>
          <w:rFonts w:ascii="Times New Roman" w:hAnsi="Times New Roman"/>
          <w:sz w:val="20"/>
        </w:rPr>
        <w:t xml:space="preserve">KLX Energy Services Holdings, Inc. </w:t>
      </w:r>
    </w:p>
    <w:p>
      <w:pPr>
        <w:pStyle w:val="TextBody"/>
        <w:bidi w:val="0"/>
        <w:spacing w:before="0" w:after="0"/>
        <w:jc w:val="left"/>
        <w:rPr>
          <w:rFonts w:ascii="Times New Roman" w:hAnsi="Times New Roman"/>
          <w:sz w:val="20"/>
        </w:rPr>
      </w:pPr>
      <w:r>
        <w:rPr>
          <w:rFonts w:ascii="Times New Roman" w:hAnsi="Times New Roman"/>
          <w:sz w:val="20"/>
        </w:rPr>
        <w:t xml:space="preserve">3040 Post Oak Blvd, Suite 1500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77056 </w:t>
      </w:r>
    </w:p>
    <w:p>
      <w:pPr>
        <w:pStyle w:val="TextBody"/>
        <w:bidi w:val="0"/>
        <w:spacing w:before="0" w:after="0"/>
        <w:jc w:val="left"/>
        <w:rPr>
          <w:rFonts w:ascii="Times New Roman" w:hAnsi="Times New Roman"/>
          <w:sz w:val="20"/>
        </w:rPr>
      </w:pPr>
      <w:r>
        <w:rPr>
          <w:rFonts w:ascii="Times New Roman" w:hAnsi="Times New Roman"/>
          <w:sz w:val="20"/>
        </w:rPr>
        <w:t xml:space="preserve">Attention: Max Bouthillette,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This certificate is delivered to request a transfer of $[</w:t>
      </w:r>
      <w:r>
        <w:rPr>
          <w:rFonts w:ascii="Times New Roman" w:hAnsi="Times New Roman"/>
          <w:sz w:val="20"/>
          <w:u w:val="single"/>
        </w:rPr>
        <w:t>    </w:t>
      </w:r>
      <w:r>
        <w:rPr>
          <w:rFonts w:ascii="Times New Roman" w:hAnsi="Times New Roman"/>
          <w:sz w:val="20"/>
        </w:rPr>
        <w:t>] principal amount of the Senior Secured Floating Rate Cash / PIK Notes due 2030 (the “</w:t>
      </w:r>
      <w:r>
        <w:rPr>
          <w:rFonts w:ascii="Times New Roman" w:hAnsi="Times New Roman"/>
          <w:b/>
          <w:sz w:val="20"/>
        </w:rPr>
        <w:t>Notes</w:t>
      </w:r>
      <w:r>
        <w:rPr>
          <w:rFonts w:ascii="Times New Roman" w:hAnsi="Times New Roman"/>
          <w:sz w:val="20"/>
        </w:rPr>
        <w:t>”) of KLX Energy Services Holdings, Inc. (the “</w:t>
      </w:r>
      <w:r>
        <w:rPr>
          <w:rFonts w:ascii="Times New Roman" w:hAnsi="Times New Roman"/>
          <w:b/>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transfer, the Notes would be registered in the name of the new beneficial owner as follows: </w:t>
      </w:r>
    </w:p>
    <w:p>
      <w:pPr>
        <w:pStyle w:val="TextBody"/>
        <w:bidi w:val="0"/>
        <w:spacing w:before="240" w:after="0"/>
        <w:jc w:val="left"/>
        <w:rPr>
          <w:rFonts w:ascii="Times New Roman" w:hAnsi="Times New Roman"/>
          <w:sz w:val="20"/>
        </w:rPr>
      </w:pPr>
      <w:r>
        <w:rPr>
          <w:rFonts w:ascii="Times New Roman" w:hAnsi="Times New Roman"/>
          <w:sz w:val="20"/>
        </w:rPr>
        <w:t xml:space="preserve">Name: 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Address: 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Taxpayer ID Number: 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and warrants to you that: </w:t>
      </w:r>
    </w:p>
    <w:p>
      <w:pPr>
        <w:pStyle w:val="TextBody"/>
        <w:bidi w:val="0"/>
        <w:spacing w:before="240" w:after="0"/>
        <w:jc w:val="left"/>
        <w:rPr>
          <w:rFonts w:ascii="Times New Roman" w:hAnsi="Times New Roman"/>
          <w:sz w:val="20"/>
        </w:rPr>
      </w:pPr>
      <w:r>
        <w:rPr>
          <w:rFonts w:ascii="Times New Roman" w:hAnsi="Times New Roman"/>
          <w:sz w:val="20"/>
        </w:rPr>
        <w:t>1. We are an institutional “accredited investor” (as defined in Rule 501(a)(1), (2), (3) or (7) under the Securities Act of 1933, as amended (the “</w:t>
      </w:r>
      <w:r>
        <w:rPr>
          <w:rFonts w:ascii="Times New Roman" w:hAnsi="Times New Roman"/>
          <w:b/>
          <w:sz w:val="20"/>
        </w:rPr>
        <w:t>Securities Act</w:t>
      </w:r>
      <w:r>
        <w:rPr>
          <w:rFonts w:ascii="Times New Roman" w:hAnsi="Times New Roman"/>
          <w:sz w:val="20"/>
        </w:rPr>
        <w:t xml:space="preserve">”)), purchasing for our own account or for the account of such an institutional “accredited investor” at least $250,000 principal amount of the Notes, and we are acquiring the Notes, for investment purposes and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 </w:t>
      </w:r>
    </w:p>
    <w:p>
      <w:pPr>
        <w:pStyle w:val="TextBody"/>
        <w:bidi w:val="0"/>
        <w:spacing w:before="240" w:after="0"/>
        <w:jc w:val="left"/>
        <w:rPr>
          <w:rFonts w:ascii="Times New Roman" w:hAnsi="Times New Roman"/>
          <w:sz w:val="20"/>
        </w:rPr>
      </w:pPr>
      <w:r>
        <w:rPr>
          <w:rFonts w:ascii="Times New Roman" w:hAnsi="Times New Roman"/>
          <w:sz w:val="20"/>
        </w:rPr>
        <w:t>2. 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alter the later of the date of original issue and the last date on which the Issuer or any affiliate of the Issuer was the owner of such Notes (or any predecessor thereto) (the “</w:t>
      </w:r>
      <w:r>
        <w:rPr>
          <w:rFonts w:ascii="Times New Roman" w:hAnsi="Times New Roman"/>
          <w:b/>
          <w:sz w:val="20"/>
        </w:rPr>
        <w:t>Resale Restriction Termination Date</w:t>
      </w:r>
      <w:r>
        <w:rPr>
          <w:rFonts w:ascii="Times New Roman" w:hAnsi="Times New Roman"/>
          <w:sz w:val="20"/>
        </w:rPr>
        <w:t xml:space="preserve">”) only in accordance with the Restricted Notes Legend (as such term is defined in the indenture under which the Notes were issued) on the Notes and any applicable securities laws of any state of the United States. The foregoing restrictions on resale will not apply subsequent to the Resale Restriction Termination Date. If any resale or other transfer of the Notes is proposed to be made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clause (e) of the Restricted Notes Legend prior to the Resale Restriction Termination Date, the transferor shall deliver a letter from the transferee substantially in the form of this letter to the Issuer and the Trustee,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Issuer and the Trustee reserve the right prior to the offer, sale or other transfer prior to the Resale Restriction Termination Date of the Notes with respect to applicable transfers described in the Restricted Notes Legend to require the delivery of an opinion of counsel, certifications and/or other information satisfactory to the Issuer and the Trustee. </w:t>
      </w:r>
    </w:p>
    <w:p>
      <w:pPr>
        <w:pStyle w:val="TextBody"/>
        <w:bidi w:val="0"/>
        <w:spacing w:before="0" w:after="0"/>
        <w:jc w:val="left"/>
        <w:rPr/>
      </w:pPr>
      <w:r>
        <w:rPr/>
        <w:t> </w:t>
      </w:r>
    </w:p>
    <w:tbl>
      <w:tblPr>
        <w:tblW w:w="5180" w:type="dxa"/>
        <w:jc w:val="righ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tcPr>
          <w:p>
            <w:pPr>
              <w:pStyle w:val="TableContents"/>
              <w:bidi w:val="0"/>
              <w:spacing w:before="0" w:after="283"/>
              <w:jc w:val="left"/>
              <w:rPr/>
            </w:pPr>
            <w:r>
              <w:rPr/>
              <w:t>TRANSFEREE:________________________________ ,</w:t>
            </w:r>
          </w:p>
        </w:tc>
      </w:tr>
      <w:tr>
        <w:trPr>
          <w:trHeight w:val="240" w:hRule="atLeast"/>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tcPr>
          <w:p>
            <w:pPr>
              <w:pStyle w:val="TableContents"/>
              <w:bidi w:val="0"/>
              <w:spacing w:before="0" w:after="283"/>
              <w:jc w:val="left"/>
              <w:rPr/>
            </w:pPr>
            <w:r>
              <w:rPr/>
              <w:t>by: __________________________________________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COMPLIANCE CERTIFICATE </w:t>
      </w:r>
    </w:p>
    <w:p>
      <w:pPr>
        <w:pStyle w:val="TextBody"/>
        <w:bidi w:val="0"/>
        <w:spacing w:before="240" w:after="0"/>
        <w:jc w:val="left"/>
        <w:rPr>
          <w:rFonts w:ascii="Times New Roman" w:hAnsi="Times New Roman"/>
          <w:sz w:val="20"/>
        </w:rPr>
      </w:pPr>
      <w:r>
        <w:rPr>
          <w:rFonts w:ascii="Times New Roman" w:hAnsi="Times New Roman"/>
          <w:sz w:val="20"/>
        </w:rPr>
        <w:t>This compliance certificate (this “</w:t>
      </w:r>
      <w:r>
        <w:rPr>
          <w:rFonts w:ascii="Times New Roman" w:hAnsi="Times New Roman"/>
          <w:b/>
          <w:sz w:val="20"/>
        </w:rPr>
        <w:t>Certificate</w:t>
      </w:r>
      <w:r>
        <w:rPr>
          <w:rFonts w:ascii="Times New Roman" w:hAnsi="Times New Roman"/>
          <w:sz w:val="20"/>
        </w:rPr>
        <w:t>”) is delivered to you pursuant to Section 5.03(c) of that certain Amended and Restated Indenture, dated as of [__], 20[ ], by and among KLX Energy Services Holdings, Inc., a Delaware corporation (the “</w:t>
      </w:r>
      <w:r>
        <w:rPr>
          <w:rFonts w:ascii="Times New Roman" w:hAnsi="Times New Roman"/>
          <w:b/>
          <w:sz w:val="20"/>
        </w:rPr>
        <w:t>Issuer</w:t>
      </w:r>
      <w:r>
        <w:rPr>
          <w:rFonts w:ascii="Times New Roman" w:hAnsi="Times New Roman"/>
          <w:sz w:val="20"/>
        </w:rPr>
        <w:t>”), each of the Guarantors from time to time party thereto, and U.S. Bank Trust Company, National Association, as trustee (in such capacity, together with its successors and assigns, the “</w:t>
      </w:r>
      <w:r>
        <w:rPr>
          <w:rFonts w:ascii="Times New Roman" w:hAnsi="Times New Roman"/>
          <w:b/>
          <w:sz w:val="20"/>
        </w:rPr>
        <w:t>Trustee</w:t>
      </w:r>
      <w:r>
        <w:rPr>
          <w:rFonts w:ascii="Times New Roman" w:hAnsi="Times New Roman"/>
          <w:sz w:val="20"/>
        </w:rPr>
        <w:t>”) and as notes collateral agent for the Secured Parties (in such capacity, together with its successors and assigns, the “</w:t>
      </w:r>
      <w:r>
        <w:rPr>
          <w:rFonts w:ascii="Times New Roman" w:hAnsi="Times New Roman"/>
          <w:b/>
          <w:sz w:val="20"/>
        </w:rPr>
        <w:t>Collateral Agent</w:t>
      </w:r>
      <w:r>
        <w:rPr>
          <w:rFonts w:ascii="Times New Roman" w:hAnsi="Times New Roman"/>
          <w:sz w:val="20"/>
        </w:rPr>
        <w:t>”) (the “</w:t>
      </w:r>
      <w:r>
        <w:rPr>
          <w:rFonts w:ascii="Times New Roman" w:hAnsi="Times New Roman"/>
          <w:b/>
          <w:sz w:val="20"/>
        </w:rPr>
        <w:t>Indenture</w:t>
      </w:r>
      <w:r>
        <w:rPr>
          <w:rFonts w:ascii="Times New Roman" w:hAnsi="Times New Roman"/>
          <w:sz w:val="20"/>
        </w:rPr>
        <w:t xml:space="preserve">”). Unless otherwise defined herein, capitalized terms used herein shall have the meanings assigned to such terms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I certify, not in my individual capacity, but in my capacity as an officer as follows: </w:t>
      </w:r>
    </w:p>
    <w:p>
      <w:pPr>
        <w:pStyle w:val="TextBody"/>
        <w:bidi w:val="0"/>
        <w:spacing w:before="240" w:after="0"/>
        <w:jc w:val="left"/>
        <w:rPr>
          <w:rFonts w:ascii="Times New Roman" w:hAnsi="Times New Roman"/>
          <w:sz w:val="20"/>
        </w:rPr>
      </w:pPr>
      <w:r>
        <w:rPr>
          <w:rFonts w:ascii="Times New Roman" w:hAnsi="Times New Roman"/>
          <w:sz w:val="20"/>
        </w:rPr>
        <w:t>1. I am the duly elected, qualified and acting [</w:t>
      </w:r>
      <w:r>
        <w:rPr>
          <w:rFonts w:ascii="Times New Roman" w:hAnsi="Times New Roman"/>
          <w:i/>
          <w:sz w:val="20"/>
        </w:rPr>
        <w:t>specify type of Financial Officer</w:t>
      </w:r>
      <w:r>
        <w:rPr>
          <w:rFonts w:ascii="Times New Roman" w:hAnsi="Times New Roman"/>
          <w:sz w:val="20"/>
        </w:rPr>
        <w:t xml:space="preserv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2. I have reviewed and am familiar with the contents of this Certificate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3. I have no knowledge of the occurrence and continuation, as of the date of this Certificate, of any condition or event which constitutes a Default or Event of Default[, except as set forth below]8. </w:t>
      </w:r>
    </w:p>
    <w:p>
      <w:pPr>
        <w:pStyle w:val="TextBody"/>
        <w:bidi w:val="0"/>
        <w:spacing w:before="240" w:after="0"/>
        <w:jc w:val="left"/>
        <w:rPr>
          <w:rFonts w:ascii="Times New Roman" w:hAnsi="Times New Roman"/>
          <w:sz w:val="20"/>
        </w:rPr>
      </w:pPr>
      <w:r>
        <w:rPr>
          <w:rFonts w:ascii="Times New Roman" w:hAnsi="Times New Roman"/>
          <w:sz w:val="20"/>
        </w:rPr>
        <w:t xml:space="preserve">4. Attached hereto as </w:t>
      </w:r>
      <w:r>
        <w:rPr>
          <w:rFonts w:ascii="Times New Roman" w:hAnsi="Times New Roman"/>
          <w:sz w:val="20"/>
          <w:u w:val="single"/>
        </w:rPr>
        <w:t>Attachment 1</w:t>
      </w:r>
      <w:r>
        <w:rPr>
          <w:rFonts w:ascii="Times New Roman" w:hAnsi="Times New Roman"/>
          <w:sz w:val="20"/>
        </w:rPr>
        <w:t xml:space="preserve"> are the financial statements for the fiscal [quarter][year] ended [__________] (the “</w:t>
      </w:r>
      <w:r>
        <w:rPr>
          <w:rFonts w:ascii="Times New Roman" w:hAnsi="Times New Roman"/>
          <w:b/>
          <w:sz w:val="20"/>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Attached hereto as </w:t>
      </w:r>
      <w:r>
        <w:rPr>
          <w:rFonts w:ascii="Times New Roman" w:hAnsi="Times New Roman"/>
          <w:sz w:val="20"/>
          <w:u w:val="single"/>
        </w:rPr>
        <w:t>Attachment 2</w:t>
      </w:r>
      <w:r>
        <w:rPr>
          <w:rFonts w:ascii="Times New Roman" w:hAnsi="Times New Roman"/>
          <w:sz w:val="20"/>
        </w:rPr>
        <w:t xml:space="preserve"> is the computation of the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6. Attached hereto as </w:t>
      </w:r>
      <w:r>
        <w:rPr>
          <w:rFonts w:ascii="Times New Roman" w:hAnsi="Times New Roman"/>
          <w:sz w:val="20"/>
          <w:u w:val="single"/>
        </w:rPr>
        <w:t>Attachment 3</w:t>
      </w:r>
      <w:r>
        <w:rPr>
          <w:rFonts w:ascii="Times New Roman" w:hAnsi="Times New Roman"/>
          <w:sz w:val="20"/>
        </w:rPr>
        <w:t xml:space="preserve"> is the computation of the Secured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7. As of the Test Period ended [__], the Net Capital Expenditures, on a Pro Forma Basis for such Test Period are $ [__].9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specify the nature and extent of any Default or Event of Default and include any corrective action taken or proposed to be taken with respect to such known Default or Event of Default.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Capital Expenditures during any applicable Test Period not to exceed the greater of (x) $65,000,000 in the aggregate during any Test Period or (y) seven percent (7%) of revenues during such Test Period; provided, that, such amounts shall be calculated on a Pro Forma Basis to give effect to any Subject Transaction as if it occurred on the first day of the reference period); provided, further, that, for purposes of testing compliance with Section 6.08(b) of the Indenture, as of the last day of (x) the first full fiscal quarter ending after the Closing Date, Net Capital Expenditures shall be the amount of Net Capital Expenditures for such fiscal quarter then-ended multiplied by 4, (y) the second full fiscal quarter ending after the Closing Date, Net Capital Expenditures shall be the amount of Net Capital Expenditures for the two fiscal quarters then-ended multiplied by 2 and (z) the third full fiscal quarter ending after the Closing Date, Net Capital Expenditures shall be the amount of Net Capital Expenditures for the three fiscal quarters then-ended multiplied by 4/3.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Attached hereto as </w:t>
      </w:r>
      <w:r>
        <w:rPr>
          <w:rFonts w:ascii="Times New Roman" w:hAnsi="Times New Roman"/>
          <w:sz w:val="20"/>
          <w:u w:val="single"/>
        </w:rPr>
        <w:t>Attachment 4</w:t>
      </w:r>
      <w:r>
        <w:rPr>
          <w:rFonts w:ascii="Times New Roman" w:hAnsi="Times New Roman"/>
          <w:sz w:val="20"/>
        </w:rPr>
        <w:t xml:space="preserve"> is the Borrower’s calculation of “Excess Cash Flow.”10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execute this Certificate this </w:t>
      </w:r>
      <w:r>
        <w:rPr>
          <w:rFonts w:ascii="Times New Roman" w:hAnsi="Times New Roman"/>
          <w:b/>
          <w:sz w:val="20"/>
        </w:rPr>
        <w:t xml:space="preserve">____ </w:t>
      </w:r>
      <w:r>
        <w:rPr>
          <w:rFonts w:ascii="Times New Roman" w:hAnsi="Times New Roman"/>
          <w:sz w:val="20"/>
        </w:rPr>
        <w:t xml:space="preserve">day of ____________, 20[__].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KLX ENERGY SERVICES HOLDINGS,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pPr>
            <w:r>
              <w:rPr/>
              <w:t> </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[Financial Officer]</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only in connection with the delivery of annual financial statements pursuant to Section 5.03(a) of the Indenture, starting with the fiscal year ending December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ATTACHMENT 1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sz w:val="20"/>
        </w:rPr>
      </w:pPr>
      <w:r>
        <w:rPr>
          <w:rFonts w:ascii="Times New Roman" w:hAnsi="Times New Roman"/>
          <w:sz w:val="20"/>
        </w:rPr>
        <w:t xml:space="preserve">COMPLIANCE CERTIFICATE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described herein is as of [__________________], and pertains to the fiscal [quarter] [year] ended [____________].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ATTACHMENT 2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sz w:val="20"/>
        </w:rPr>
      </w:pPr>
      <w:r>
        <w:rPr>
          <w:rFonts w:ascii="Times New Roman" w:hAnsi="Times New Roman"/>
          <w:sz w:val="20"/>
        </w:rPr>
        <w:t xml:space="preserve">COMPLIANCE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
        <w:gridCol w:w="327"/>
        <w:gridCol w:w="8743"/>
        <w:gridCol w:w="146"/>
        <w:gridCol w:w="60"/>
        <w:gridCol w:w="697"/>
        <w:gridCol w:w="63"/>
      </w:tblGrid>
      <w:tr>
        <w:trPr/>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874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TOTAL NET LEVERAGE RATIO</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b/>
                <w:u w:val="single"/>
              </w:rPr>
            </w:pPr>
            <w:r>
              <w:rPr>
                <w:b/>
                <w:u w:val="single"/>
              </w:rPr>
              <w:t>Determination of Consolidated Total Indebtedness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pPr>
            <w:r>
              <w:rPr/>
              <w:t xml:space="preserve">The </w:t>
            </w:r>
            <w:r>
              <w:rPr>
                <w:b/>
              </w:rPr>
              <w:t>sum</w:t>
            </w:r>
            <w:r>
              <w:rPr/>
              <w:t xml:space="preserve"> of (without duplication), determined on a consolidated basis for the Issuer and its Restricted Subsidiaries (excluding any obligations in respect of hedging arrangements):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(a)   all indebtedness of such Person for borrowed money or for the deferred purchase price of property or services (other than current trade payables or liabilities and deferred payment for services to employees or former employees incurred in the ordinary course of business and payable in accordance with customary practices, earn-outs, and other deferred compensation arrangements);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(b)   the face amount of all letters of credit issued for the account of such Person and, without duplication, all drafts drawn thereunder (but, for the avoidance of doubt, determined without double-counting any “back-to-back” letter of credit arrangements whereby a letter of credit serves as collateral for drawings made under another letter of credit);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(c)   all liabilities (other than obligations of such Person in respect of Leases) secured by any Lien on any property owned by such Person, to the extent attributable to such Person’s interest in such property, even though such Person has not assumed or become liable for the payment thereof;</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(d)   [reserved];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(e)   obligations under any Earn-Out payable in cash (which for all purposes of the Indenture shall be valued at the amount reasonably likely to be payable with respect to such Earn-Out as expected to be reported on such Person’s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9"/>
        <w:gridCol w:w="327"/>
        <w:gridCol w:w="8743"/>
        <w:gridCol w:w="146"/>
        <w:gridCol w:w="60"/>
        <w:gridCol w:w="697"/>
        <w:gridCol w:w="63"/>
      </w:tblGrid>
      <w:tr>
        <w:trPr/>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8743"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TOTAL NET LEVERAGE RATIO</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(f)   Disqualified Capital Stock;</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(g)   all indebtedness of such Person arising under acceptance facilities; but excluding (x) any obligation resulting from the existence of deferred revenue, including customer deposits and interest thereon in the ordinary course of business, (y) deferred rent and (z) trade and other accounts and accrued expenses payable in the ordinary course of business in accordance with customary trade terms11; and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(h)   all Contingent Obligations of such person in respect of Indebtedness or obligations of others of the kinds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pPr>
            <w:r>
              <w:rPr/>
              <w:t>Consolidated Total Indebtedness: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b/>
                <w:u w:val="single"/>
              </w:rPr>
            </w:pPr>
            <w:r>
              <w:rPr>
                <w:b/>
                <w:u w:val="single"/>
              </w:rPr>
              <w:t>Minus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pPr>
            <w:r>
              <w:rPr/>
              <w:t>Unrestricted Cash of the Issuer and its Restricted Subsidiaries (not to exceed $25,000,000):</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pPr>
            <w:r>
              <w:rPr/>
              <w:t>Total for item 1 minus item 2:</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b/>
                <w:u w:val="single"/>
              </w:rPr>
            </w:pPr>
            <w:r>
              <w:rPr>
                <w:b/>
                <w:u w:val="single"/>
              </w:rPr>
              <w:t>Determination of Consolidated EBITDA:12</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pPr>
            <w:r>
              <w:rPr/>
              <w:t>The Consolidated Net Income (excluding any unusual or extraordinary items of gain or loss) attributable to the Issuer and its Restricted Subsidiaries for such period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283"/>
              <w:jc w:val="left"/>
              <w:rPr/>
            </w:pPr>
            <w:r>
              <w:rPr>
                <w:b/>
                <w:u w:val="single"/>
              </w:rPr>
              <w:t>Plus</w:t>
            </w:r>
            <w:r>
              <w:rPr/>
              <w:t xml:space="preserve"> (without duplication) amounts in the determination of Consolidated Net Income which have been deducted for:</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9" w:type="dxa"/>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c>
          <w:tcPr>
            <w:tcW w:w="966" w:type="dxa"/>
            <w:gridSpan w:val="4"/>
            <w:tcBorders/>
            <w:vAlign w:val="center"/>
          </w:tcPr>
          <w:p>
            <w:pPr>
              <w:pStyle w:val="TableContents"/>
              <w:bidi w:val="0"/>
              <w:spacing w:before="0" w:after="283"/>
              <w:jc w:val="left"/>
              <w:rPr>
                <w:sz w:val="4"/>
                <w:szCs w:val="4"/>
              </w:rPr>
            </w:pPr>
            <w:r>
              <w:rPr>
                <w:sz w:val="4"/>
                <w:szCs w:val="4"/>
              </w:rPr>
            </w:r>
          </w:p>
        </w:tc>
      </w:tr>
      <w:tr>
        <w:trPr/>
        <w:tc>
          <w:tcPr>
            <w:tcW w:w="169" w:type="dxa"/>
            <w:tcBorders/>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8743" w:type="dxa"/>
            <w:tcBorders/>
          </w:tcPr>
          <w:p>
            <w:pPr>
              <w:pStyle w:val="TableContents"/>
              <w:bidi w:val="0"/>
              <w:spacing w:before="0" w:after="0"/>
              <w:jc w:val="left"/>
              <w:rPr>
                <w:rFonts w:ascii="Times New Roman" w:hAnsi="Times New Roman"/>
                <w:sz w:val="20"/>
              </w:rPr>
            </w:pPr>
            <w:r>
              <w:rPr>
                <w:rFonts w:ascii="Times New Roman" w:hAnsi="Times New Roman"/>
                <w:sz w:val="20"/>
              </w:rPr>
              <w:t>(a)   Consolidated Interest Expense;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(x) and (z), to the extent not overdue for a period of more than one hundred and twenty (120) days or, if overdue for more than one hundred and twenty (120) days, as to which a dispute exists and adequate reserves in conformity with GAAP have been established on the books of such Person.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calculating Consolidated EBITDA for any Test Period pursuant to any determination of the Total Net Leverage Ratio, Secured Net Leverage Ratio, or ratio of Consolidated Total Indebtedness to Consolidated EBITDA, if during such period (or in the case of pro-forma calculations, during the period from the last day of such period to and including the date as of which such calculation is made) the Issuer or one or more of its Restricted Subsidiaries shall have made a Subject Transaction, Consolidated EBITDA for such period shall be calculated after giving effect thereto on a pro-forma basis. Other than for purposes of calculating Excess Cash Flow, Consolidated EBITDA shall be calculated on a Pro Forma Basis to give effect to any Subject Transaction as if it occurred on the first day of the reference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0"/>
        <w:gridCol w:w="315"/>
        <w:gridCol w:w="8841"/>
        <w:gridCol w:w="121"/>
        <w:gridCol w:w="60"/>
        <w:gridCol w:w="705"/>
        <w:gridCol w:w="63"/>
      </w:tblGrid>
      <w:tr>
        <w:trPr/>
        <w:tc>
          <w:tcPr>
            <w:tcW w:w="10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88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TOTAL NET LEVERAGE RATIO</w:t>
            </w:r>
          </w:p>
        </w:tc>
        <w:tc>
          <w:tcPr>
            <w:tcW w:w="63" w:type="dxa"/>
            <w:tcBorders/>
            <w:vAlign w:val="bottom"/>
          </w:tcPr>
          <w:p>
            <w:pPr>
              <w:pStyle w:val="TableContents"/>
              <w:bidi w:val="0"/>
              <w:spacing w:before="0" w:after="283"/>
              <w:jc w:val="left"/>
              <w:rPr/>
            </w:pPr>
            <w:r>
              <w:rPr/>
              <w:t> </w:t>
            </w:r>
          </w:p>
        </w:tc>
      </w:tr>
      <w:tr>
        <w:trPr>
          <w:trHeight w:val="120" w:hRule="atLeast"/>
        </w:trPr>
        <w:tc>
          <w:tcPr>
            <w:tcW w:w="100" w:type="dxa"/>
            <w:tcBorders/>
            <w:vAlign w:val="center"/>
          </w:tcPr>
          <w:p>
            <w:pPr>
              <w:pStyle w:val="TableContents"/>
              <w:bidi w:val="0"/>
              <w:spacing w:before="0" w:after="283"/>
              <w:jc w:val="left"/>
              <w:rPr>
                <w:sz w:val="4"/>
                <w:szCs w:val="4"/>
              </w:rPr>
            </w:pPr>
            <w:r>
              <w:rPr>
                <w:sz w:val="4"/>
                <w:szCs w:val="4"/>
              </w:rPr>
            </w:r>
          </w:p>
        </w:tc>
        <w:tc>
          <w:tcPr>
            <w:tcW w:w="9156" w:type="dxa"/>
            <w:gridSpan w:val="2"/>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100" w:type="dxa"/>
            <w:tcBorders/>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8841" w:type="dxa"/>
            <w:tcBorders/>
          </w:tcPr>
          <w:p>
            <w:pPr>
              <w:pStyle w:val="TableContents"/>
              <w:bidi w:val="0"/>
              <w:spacing w:before="0" w:after="0"/>
              <w:jc w:val="left"/>
              <w:rPr>
                <w:rFonts w:ascii="Times New Roman" w:hAnsi="Times New Roman"/>
                <w:sz w:val="20"/>
              </w:rPr>
            </w:pPr>
            <w:r>
              <w:rPr>
                <w:rFonts w:ascii="Times New Roman" w:hAnsi="Times New Roman"/>
                <w:sz w:val="20"/>
              </w:rPr>
              <w:t>(b)   provisions for federal, state, local and foreign income, value added, franchise, margin and similar Taxes;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0" w:type="dxa"/>
            <w:tcBorders/>
            <w:vAlign w:val="center"/>
          </w:tcPr>
          <w:p>
            <w:pPr>
              <w:pStyle w:val="TableContents"/>
              <w:bidi w:val="0"/>
              <w:spacing w:before="0" w:after="283"/>
              <w:jc w:val="left"/>
              <w:rPr>
                <w:sz w:val="4"/>
                <w:szCs w:val="4"/>
              </w:rPr>
            </w:pPr>
            <w:r>
              <w:rPr>
                <w:sz w:val="4"/>
                <w:szCs w:val="4"/>
              </w:rPr>
            </w:r>
          </w:p>
        </w:tc>
        <w:tc>
          <w:tcPr>
            <w:tcW w:w="9156" w:type="dxa"/>
            <w:gridSpan w:val="2"/>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100" w:type="dxa"/>
            <w:tcBorders/>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8841" w:type="dxa"/>
            <w:tcBorders/>
          </w:tcPr>
          <w:p>
            <w:pPr>
              <w:pStyle w:val="TableContents"/>
              <w:bidi w:val="0"/>
              <w:spacing w:before="0" w:after="0"/>
              <w:jc w:val="left"/>
              <w:rPr>
                <w:rFonts w:ascii="Times New Roman" w:hAnsi="Times New Roman"/>
                <w:sz w:val="20"/>
              </w:rPr>
            </w:pPr>
            <w:r>
              <w:rPr>
                <w:rFonts w:ascii="Times New Roman" w:hAnsi="Times New Roman"/>
                <w:sz w:val="20"/>
              </w:rPr>
              <w:t>(c)   depreciation, amortization (including, without limitation, amortization of goodwill and other intangible assets), impairment of goodwill and other non-cash charges or expenses (excluding any such non-cash charge or expense to the extent that it represents amortization of a prepaid cash expense that was paid in a prior period;</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0" w:type="dxa"/>
            <w:tcBorders/>
            <w:vAlign w:val="center"/>
          </w:tcPr>
          <w:p>
            <w:pPr>
              <w:pStyle w:val="TableContents"/>
              <w:bidi w:val="0"/>
              <w:spacing w:before="0" w:after="283"/>
              <w:jc w:val="left"/>
              <w:rPr>
                <w:sz w:val="4"/>
                <w:szCs w:val="4"/>
              </w:rPr>
            </w:pPr>
            <w:r>
              <w:rPr>
                <w:sz w:val="4"/>
                <w:szCs w:val="4"/>
              </w:rPr>
            </w:r>
          </w:p>
        </w:tc>
        <w:tc>
          <w:tcPr>
            <w:tcW w:w="9156" w:type="dxa"/>
            <w:gridSpan w:val="2"/>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100" w:type="dxa"/>
            <w:tcBorders/>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8841" w:type="dxa"/>
            <w:tcBorders/>
          </w:tcPr>
          <w:p>
            <w:pPr>
              <w:pStyle w:val="TableContents"/>
              <w:bidi w:val="0"/>
              <w:spacing w:before="0" w:after="0"/>
              <w:jc w:val="left"/>
              <w:rPr>
                <w:rFonts w:ascii="Times New Roman" w:hAnsi="Times New Roman"/>
                <w:sz w:val="20"/>
              </w:rPr>
            </w:pPr>
            <w:r>
              <w:rPr>
                <w:rFonts w:ascii="Times New Roman" w:hAnsi="Times New Roman"/>
                <w:sz w:val="20"/>
              </w:rPr>
              <w:t>(d)   non-cash compensation expense, or other non-cash expenses or charges, arising from the granting of stock options, the granting of stock appreciation rights and similar arrangements (including any repricing, amendment, modification, substitution or change of any such stock option, stock appreciation rights or similar arrangements);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0" w:type="dxa"/>
            <w:tcBorders/>
            <w:vAlign w:val="center"/>
          </w:tcPr>
          <w:p>
            <w:pPr>
              <w:pStyle w:val="TableContents"/>
              <w:bidi w:val="0"/>
              <w:spacing w:before="0" w:after="283"/>
              <w:jc w:val="left"/>
              <w:rPr>
                <w:sz w:val="4"/>
                <w:szCs w:val="4"/>
              </w:rPr>
            </w:pPr>
            <w:r>
              <w:rPr>
                <w:sz w:val="4"/>
                <w:szCs w:val="4"/>
              </w:rPr>
            </w:r>
          </w:p>
        </w:tc>
        <w:tc>
          <w:tcPr>
            <w:tcW w:w="9156" w:type="dxa"/>
            <w:gridSpan w:val="2"/>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100" w:type="dxa"/>
            <w:tcBorders/>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8841" w:type="dxa"/>
            <w:tcBorders/>
          </w:tcPr>
          <w:p>
            <w:pPr>
              <w:pStyle w:val="TableContents"/>
              <w:bidi w:val="0"/>
              <w:spacing w:before="0" w:after="0"/>
              <w:jc w:val="left"/>
              <w:rPr>
                <w:rFonts w:ascii="Times New Roman" w:hAnsi="Times New Roman"/>
                <w:sz w:val="20"/>
              </w:rPr>
            </w:pPr>
            <w:r>
              <w:rPr>
                <w:rFonts w:ascii="Times New Roman" w:hAnsi="Times New Roman"/>
                <w:sz w:val="20"/>
              </w:rPr>
              <w:t>(e)   any (A) financial advisory fees, underwriting fees, accounting fees, legal fees and other similar advisory and consulting fees and related out-of-pocket advisory and consulting expenses, and (B) prepayment premiums, breakage costs and interest rate indemnities, redeployment costs or funding costs, with respect to each of clause (A) and clause (B) incurred by the Issuer and its Restricted Subsidiaries as a result of, or in connection with, any issuance, incurrence, refinancing, redemption, repayment or prepayment of Indebtedness, to the extent permitted under the Indenture; and</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0" w:type="dxa"/>
            <w:tcBorders/>
            <w:vAlign w:val="center"/>
          </w:tcPr>
          <w:p>
            <w:pPr>
              <w:pStyle w:val="TableContents"/>
              <w:bidi w:val="0"/>
              <w:spacing w:before="0" w:after="283"/>
              <w:jc w:val="left"/>
              <w:rPr>
                <w:sz w:val="4"/>
                <w:szCs w:val="4"/>
              </w:rPr>
            </w:pPr>
            <w:r>
              <w:rPr>
                <w:sz w:val="4"/>
                <w:szCs w:val="4"/>
              </w:rPr>
            </w:r>
          </w:p>
        </w:tc>
        <w:tc>
          <w:tcPr>
            <w:tcW w:w="9156" w:type="dxa"/>
            <w:gridSpan w:val="2"/>
            <w:tcBorders/>
            <w:vAlign w:val="center"/>
          </w:tcPr>
          <w:p>
            <w:pPr>
              <w:pStyle w:val="TableContents"/>
              <w:bidi w:val="0"/>
              <w:spacing w:before="0" w:after="283"/>
              <w:jc w:val="left"/>
              <w:rPr>
                <w:sz w:val="4"/>
                <w:szCs w:val="4"/>
              </w:rPr>
            </w:pPr>
            <w:r>
              <w:rPr>
                <w:sz w:val="4"/>
                <w:szCs w:val="4"/>
              </w:rPr>
            </w:r>
          </w:p>
        </w:tc>
        <w:tc>
          <w:tcPr>
            <w:tcW w:w="949" w:type="dxa"/>
            <w:gridSpan w:val="4"/>
            <w:tcBorders/>
            <w:vAlign w:val="center"/>
          </w:tcPr>
          <w:p>
            <w:pPr>
              <w:pStyle w:val="TableContents"/>
              <w:bidi w:val="0"/>
              <w:spacing w:before="0" w:after="283"/>
              <w:jc w:val="left"/>
              <w:rPr>
                <w:sz w:val="4"/>
                <w:szCs w:val="4"/>
              </w:rPr>
            </w:pPr>
            <w:r>
              <w:rPr>
                <w:sz w:val="4"/>
                <w:szCs w:val="4"/>
              </w:rPr>
            </w:r>
          </w:p>
        </w:tc>
      </w:tr>
      <w:tr>
        <w:trPr/>
        <w:tc>
          <w:tcPr>
            <w:tcW w:w="100" w:type="dxa"/>
            <w:tcBorders/>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88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(f)   any (A) financial advisory fees, accounting fees, legal fees and other similar advisory and consulting fees and related out-of-pocket advisory and consulting expenses, and (B) all cash and non-cash restructuring and integration charges, costs, and expenses, in each case incurred by the Issuer and its Restricted Subsidiaries as a result of any Permitted Acquisition or other internal restructuring and deducted from net income, and, in the case of the items described in this sub-clause (B), which are factually supportable, identifiable and documented, and which are not objected to by the Trustee (acting at the direction of the Controlling Parties); </w:t>
            </w:r>
            <w:r>
              <w:rPr>
                <w:rFonts w:ascii="Times New Roman" w:hAnsi="Times New Roman"/>
                <w:i/>
                <w:sz w:val="20"/>
              </w:rPr>
              <w:t>provided</w:t>
            </w:r>
            <w:r>
              <w:rPr>
                <w:rFonts w:ascii="Times New Roman" w:hAnsi="Times New Roman"/>
                <w:sz w:val="20"/>
              </w:rPr>
              <w:t>, that, the aggregate amount of such costs and expenses under this sub-clause (B) shall not exceed [ten percent (10%)] of Consolidated EBITDA;</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4"/>
        <w:gridCol w:w="407"/>
        <w:gridCol w:w="8056"/>
        <w:gridCol w:w="248"/>
        <w:gridCol w:w="60"/>
        <w:gridCol w:w="1167"/>
        <w:gridCol w:w="63"/>
      </w:tblGrid>
      <w:tr>
        <w:trPr/>
        <w:tc>
          <w:tcPr>
            <w:tcW w:w="204"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TOTAL NET LEVERAGE RATIO</w:t>
            </w:r>
          </w:p>
        </w:tc>
        <w:tc>
          <w:tcPr>
            <w:tcW w:w="63" w:type="dxa"/>
            <w:tcBorders/>
            <w:vAlign w:val="bottom"/>
          </w:tcPr>
          <w:p>
            <w:pPr>
              <w:pStyle w:val="TableContents"/>
              <w:bidi w:val="0"/>
              <w:spacing w:before="0" w:after="283"/>
              <w:jc w:val="left"/>
              <w:rPr/>
            </w:pPr>
            <w:r>
              <w:rPr/>
              <w:t> </w:t>
            </w:r>
          </w:p>
        </w:tc>
      </w:tr>
      <w:tr>
        <w:trPr>
          <w:trHeight w:val="120" w:hRule="atLeast"/>
        </w:trPr>
        <w:tc>
          <w:tcPr>
            <w:tcW w:w="204" w:type="dxa"/>
            <w:tcBorders/>
            <w:vAlign w:val="center"/>
          </w:tcPr>
          <w:p>
            <w:pPr>
              <w:pStyle w:val="TableContents"/>
              <w:bidi w:val="0"/>
              <w:spacing w:before="0" w:after="283"/>
              <w:jc w:val="left"/>
              <w:rPr>
                <w:sz w:val="4"/>
                <w:szCs w:val="4"/>
              </w:rPr>
            </w:pPr>
            <w:r>
              <w:rPr>
                <w:sz w:val="4"/>
                <w:szCs w:val="4"/>
              </w:rPr>
            </w:r>
          </w:p>
        </w:tc>
        <w:tc>
          <w:tcPr>
            <w:tcW w:w="8463" w:type="dxa"/>
            <w:gridSpan w:val="2"/>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r>
      <w:tr>
        <w:trPr/>
        <w:tc>
          <w:tcPr>
            <w:tcW w:w="204" w:type="dxa"/>
            <w:tcBorders/>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8056" w:type="dxa"/>
            <w:tcBorders/>
          </w:tcPr>
          <w:p>
            <w:pPr>
              <w:pStyle w:val="TableContents"/>
              <w:bidi w:val="0"/>
              <w:spacing w:before="0" w:after="283"/>
              <w:jc w:val="left"/>
              <w:rPr>
                <w:b/>
                <w:u w:val="single"/>
              </w:rPr>
            </w:pPr>
            <w:r>
              <w:rPr>
                <w:b/>
                <w:u w:val="single"/>
              </w:rPr>
              <w:t>Minus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04" w:type="dxa"/>
            <w:tcBorders/>
            <w:vAlign w:val="center"/>
          </w:tcPr>
          <w:p>
            <w:pPr>
              <w:pStyle w:val="TableContents"/>
              <w:bidi w:val="0"/>
              <w:spacing w:before="0" w:after="283"/>
              <w:jc w:val="left"/>
              <w:rPr>
                <w:sz w:val="4"/>
                <w:szCs w:val="4"/>
              </w:rPr>
            </w:pPr>
            <w:r>
              <w:rPr>
                <w:sz w:val="4"/>
                <w:szCs w:val="4"/>
              </w:rPr>
            </w:r>
          </w:p>
        </w:tc>
        <w:tc>
          <w:tcPr>
            <w:tcW w:w="8463" w:type="dxa"/>
            <w:gridSpan w:val="2"/>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r>
      <w:tr>
        <w:trPr/>
        <w:tc>
          <w:tcPr>
            <w:tcW w:w="204" w:type="dxa"/>
            <w:tcBorders/>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8056" w:type="dxa"/>
            <w:tcBorders/>
          </w:tcPr>
          <w:p>
            <w:pPr>
              <w:pStyle w:val="TableContents"/>
              <w:bidi w:val="0"/>
              <w:spacing w:before="0" w:after="0"/>
              <w:jc w:val="left"/>
              <w:rPr>
                <w:rFonts w:ascii="Times New Roman" w:hAnsi="Times New Roman"/>
                <w:sz w:val="20"/>
              </w:rPr>
            </w:pPr>
            <w:r>
              <w:rPr>
                <w:rFonts w:ascii="Times New Roman" w:hAnsi="Times New Roman"/>
                <w:sz w:val="20"/>
              </w:rPr>
              <w:t>(g)   any amount which, in the determination of Consolidated Net Income for such period, has been added for any non-cash income or non-cash gains, all as determined in accordance with GAAP; and</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4" w:type="dxa"/>
            <w:tcBorders/>
            <w:vAlign w:val="center"/>
          </w:tcPr>
          <w:p>
            <w:pPr>
              <w:pStyle w:val="TableContents"/>
              <w:bidi w:val="0"/>
              <w:spacing w:before="0" w:after="283"/>
              <w:jc w:val="left"/>
              <w:rPr>
                <w:sz w:val="4"/>
                <w:szCs w:val="4"/>
              </w:rPr>
            </w:pPr>
            <w:r>
              <w:rPr>
                <w:sz w:val="4"/>
                <w:szCs w:val="4"/>
              </w:rPr>
            </w:r>
          </w:p>
        </w:tc>
        <w:tc>
          <w:tcPr>
            <w:tcW w:w="8463" w:type="dxa"/>
            <w:gridSpan w:val="2"/>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r>
      <w:tr>
        <w:trPr/>
        <w:tc>
          <w:tcPr>
            <w:tcW w:w="204" w:type="dxa"/>
            <w:tcBorders/>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8056" w:type="dxa"/>
            <w:tcBorders/>
          </w:tcPr>
          <w:p>
            <w:pPr>
              <w:pStyle w:val="TableContents"/>
              <w:bidi w:val="0"/>
              <w:spacing w:before="0" w:after="0"/>
              <w:jc w:val="left"/>
              <w:rPr>
                <w:rFonts w:ascii="Times New Roman" w:hAnsi="Times New Roman"/>
                <w:sz w:val="20"/>
              </w:rPr>
            </w:pPr>
            <w:r>
              <w:rPr>
                <w:rFonts w:ascii="Times New Roman" w:hAnsi="Times New Roman"/>
                <w:sz w:val="20"/>
              </w:rPr>
              <w:t>(h)   the aggregate amount of cash payments made during such period in respect of any non-cash accrual, reserve or other non-cash charge or expense accounted for in a prior period which were added to Consolidated Net Income to determine Consolidated EBITDA for such prior period and which do not otherwise reduce Consolidated Net Income for the current period.</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4" w:type="dxa"/>
            <w:tcBorders/>
            <w:vAlign w:val="center"/>
          </w:tcPr>
          <w:p>
            <w:pPr>
              <w:pStyle w:val="TableContents"/>
              <w:bidi w:val="0"/>
              <w:spacing w:before="0" w:after="283"/>
              <w:jc w:val="left"/>
              <w:rPr>
                <w:sz w:val="4"/>
                <w:szCs w:val="4"/>
              </w:rPr>
            </w:pPr>
            <w:r>
              <w:rPr>
                <w:sz w:val="4"/>
                <w:szCs w:val="4"/>
              </w:rPr>
            </w:r>
          </w:p>
        </w:tc>
        <w:tc>
          <w:tcPr>
            <w:tcW w:w="8463" w:type="dxa"/>
            <w:gridSpan w:val="2"/>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r>
      <w:tr>
        <w:trPr/>
        <w:tc>
          <w:tcPr>
            <w:tcW w:w="204" w:type="dxa"/>
            <w:tcBorders/>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8056" w:type="dxa"/>
            <w:tcBorders/>
          </w:tcPr>
          <w:p>
            <w:pPr>
              <w:pStyle w:val="TableContents"/>
              <w:bidi w:val="0"/>
              <w:spacing w:before="0" w:after="283"/>
              <w:jc w:val="left"/>
              <w:rPr/>
            </w:pPr>
            <w:r>
              <w:rPr/>
              <w:t>Total for item 3 (Consolidated EBITDA):</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4" w:type="dxa"/>
            <w:tcBorders/>
            <w:vAlign w:val="center"/>
          </w:tcPr>
          <w:p>
            <w:pPr>
              <w:pStyle w:val="TableContents"/>
              <w:bidi w:val="0"/>
              <w:spacing w:before="0" w:after="283"/>
              <w:jc w:val="left"/>
              <w:rPr>
                <w:sz w:val="4"/>
                <w:szCs w:val="4"/>
              </w:rPr>
            </w:pPr>
            <w:r>
              <w:rPr>
                <w:sz w:val="4"/>
                <w:szCs w:val="4"/>
              </w:rPr>
            </w:r>
          </w:p>
        </w:tc>
        <w:tc>
          <w:tcPr>
            <w:tcW w:w="8463" w:type="dxa"/>
            <w:gridSpan w:val="2"/>
            <w:tcBorders/>
            <w:vAlign w:val="center"/>
          </w:tcPr>
          <w:p>
            <w:pPr>
              <w:pStyle w:val="TableContents"/>
              <w:bidi w:val="0"/>
              <w:spacing w:before="0" w:after="283"/>
              <w:jc w:val="left"/>
              <w:rPr>
                <w:sz w:val="4"/>
                <w:szCs w:val="4"/>
              </w:rPr>
            </w:pPr>
            <w:r>
              <w:rPr>
                <w:sz w:val="4"/>
                <w:szCs w:val="4"/>
              </w:rPr>
            </w:r>
          </w:p>
        </w:tc>
        <w:tc>
          <w:tcPr>
            <w:tcW w:w="1538" w:type="dxa"/>
            <w:gridSpan w:val="4"/>
            <w:tcBorders/>
            <w:vAlign w:val="center"/>
          </w:tcPr>
          <w:p>
            <w:pPr>
              <w:pStyle w:val="TableContents"/>
              <w:bidi w:val="0"/>
              <w:spacing w:before="0" w:after="283"/>
              <w:jc w:val="left"/>
              <w:rPr>
                <w:sz w:val="4"/>
                <w:szCs w:val="4"/>
              </w:rPr>
            </w:pPr>
            <w:r>
              <w:rPr>
                <w:sz w:val="4"/>
                <w:szCs w:val="4"/>
              </w:rPr>
            </w:r>
          </w:p>
        </w:tc>
      </w:tr>
      <w:tr>
        <w:trPr/>
        <w:tc>
          <w:tcPr>
            <w:tcW w:w="204"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407" w:type="dxa"/>
            <w:tcBorders/>
            <w:vAlign w:val="bottom"/>
          </w:tcPr>
          <w:p>
            <w:pPr>
              <w:pStyle w:val="TableContents"/>
              <w:bidi w:val="0"/>
              <w:spacing w:before="0" w:after="283"/>
              <w:jc w:val="left"/>
              <w:rPr/>
            </w:pPr>
            <w:r>
              <w:rPr/>
              <w:t>  </w:t>
            </w:r>
          </w:p>
        </w:tc>
        <w:tc>
          <w:tcPr>
            <w:tcW w:w="8056" w:type="dxa"/>
            <w:tcBorders/>
          </w:tcPr>
          <w:p>
            <w:pPr>
              <w:pStyle w:val="TableContents"/>
              <w:bidi w:val="0"/>
              <w:spacing w:before="0" w:after="283"/>
              <w:jc w:val="left"/>
              <w:rPr/>
            </w:pPr>
            <w:r>
              <w:rPr>
                <w:b/>
                <w:u w:val="single"/>
              </w:rPr>
              <w:t>TOTAL NET LEVERAGE RATIO</w:t>
            </w:r>
            <w:r>
              <w:rPr/>
              <w:t>: The ratio of the remainder of item 1 minus item 2 to item 3:</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center"/>
              <w:rPr>
                <w:b/>
              </w:rPr>
            </w:pPr>
            <w:r>
              <w:rPr>
                <w:b/>
              </w:rPr>
              <w:t>[____]:1.00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ATTACHMENT 3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sz w:val="20"/>
        </w:rPr>
      </w:pPr>
      <w:r>
        <w:rPr>
          <w:rFonts w:ascii="Times New Roman" w:hAnsi="Times New Roman"/>
          <w:sz w:val="20"/>
        </w:rPr>
        <w:t xml:space="preserve">COMPLIANCE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
        <w:gridCol w:w="324"/>
        <w:gridCol w:w="8752"/>
        <w:gridCol w:w="147"/>
        <w:gridCol w:w="60"/>
        <w:gridCol w:w="689"/>
        <w:gridCol w:w="63"/>
      </w:tblGrid>
      <w:tr>
        <w:trPr/>
        <w:tc>
          <w:tcPr>
            <w:tcW w:w="17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875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SECURED NET LEVERAGE RATIO</w:t>
            </w:r>
          </w:p>
        </w:tc>
        <w:tc>
          <w:tcPr>
            <w:tcW w:w="63" w:type="dxa"/>
            <w:tcBorders/>
            <w:vAlign w:val="bottom"/>
          </w:tcPr>
          <w:p>
            <w:pPr>
              <w:pStyle w:val="TableContents"/>
              <w:bidi w:val="0"/>
              <w:spacing w:before="0" w:after="283"/>
              <w:jc w:val="left"/>
              <w:rPr/>
            </w:pPr>
            <w:r>
              <w:rPr/>
              <w:t> </w:t>
            </w:r>
          </w:p>
        </w:tc>
      </w:tr>
      <w:tr>
        <w:trPr>
          <w:trHeight w:val="120" w:hRule="atLeast"/>
        </w:trPr>
        <w:tc>
          <w:tcPr>
            <w:tcW w:w="170"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c>
          <w:tcPr>
            <w:tcW w:w="959" w:type="dxa"/>
            <w:gridSpan w:val="4"/>
            <w:tcBorders/>
            <w:vAlign w:val="center"/>
          </w:tcPr>
          <w:p>
            <w:pPr>
              <w:pStyle w:val="TableContents"/>
              <w:bidi w:val="0"/>
              <w:spacing w:before="0" w:after="283"/>
              <w:jc w:val="left"/>
              <w:rPr>
                <w:sz w:val="4"/>
                <w:szCs w:val="4"/>
              </w:rPr>
            </w:pPr>
            <w:r>
              <w:rPr>
                <w:sz w:val="4"/>
                <w:szCs w:val="4"/>
              </w:rPr>
            </w:r>
          </w:p>
        </w:tc>
      </w:tr>
      <w:tr>
        <w:trPr/>
        <w:tc>
          <w:tcPr>
            <w:tcW w:w="170"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324" w:type="dxa"/>
            <w:tcBorders/>
            <w:vAlign w:val="bottom"/>
          </w:tcPr>
          <w:p>
            <w:pPr>
              <w:pStyle w:val="TableContents"/>
              <w:bidi w:val="0"/>
              <w:spacing w:before="0" w:after="283"/>
              <w:jc w:val="left"/>
              <w:rPr/>
            </w:pPr>
            <w:r>
              <w:rPr/>
              <w:t>  </w:t>
            </w:r>
          </w:p>
        </w:tc>
        <w:tc>
          <w:tcPr>
            <w:tcW w:w="8752" w:type="dxa"/>
            <w:tcBorders/>
          </w:tcPr>
          <w:p>
            <w:pPr>
              <w:pStyle w:val="TableContents"/>
              <w:bidi w:val="0"/>
              <w:spacing w:before="0" w:after="283"/>
              <w:jc w:val="left"/>
              <w:rPr>
                <w:b/>
                <w:u w:val="single"/>
              </w:rPr>
            </w:pPr>
            <w:r>
              <w:rPr>
                <w:b/>
                <w:u w:val="single"/>
              </w:rPr>
              <w:t>Determination of Consolidated Secured Indebtedness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0"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c>
          <w:tcPr>
            <w:tcW w:w="959" w:type="dxa"/>
            <w:gridSpan w:val="4"/>
            <w:tcBorders/>
            <w:vAlign w:val="center"/>
          </w:tcPr>
          <w:p>
            <w:pPr>
              <w:pStyle w:val="TableContents"/>
              <w:bidi w:val="0"/>
              <w:spacing w:before="0" w:after="283"/>
              <w:jc w:val="left"/>
              <w:rPr>
                <w:sz w:val="4"/>
                <w:szCs w:val="4"/>
              </w:rPr>
            </w:pPr>
            <w:r>
              <w:rPr>
                <w:sz w:val="4"/>
                <w:szCs w:val="4"/>
              </w:rPr>
            </w:r>
          </w:p>
        </w:tc>
      </w:tr>
      <w:tr>
        <w:trPr/>
        <w:tc>
          <w:tcPr>
            <w:tcW w:w="170" w:type="dxa"/>
            <w:tcBorders/>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8752" w:type="dxa"/>
            <w:tcBorders/>
          </w:tcPr>
          <w:p>
            <w:pPr>
              <w:pStyle w:val="TableContents"/>
              <w:bidi w:val="0"/>
              <w:spacing w:before="0" w:after="283"/>
              <w:jc w:val="left"/>
              <w:rPr/>
            </w:pPr>
            <w:r>
              <w:rPr/>
              <w:t xml:space="preserve">The </w:t>
            </w:r>
            <w:r>
              <w:rPr>
                <w:b/>
                <w:u w:val="single"/>
              </w:rPr>
              <w:t>sum</w:t>
            </w:r>
            <w:r>
              <w:rPr/>
              <w:t xml:space="preserve"> of (without duplication), secured by a Lien on the assets constituting Collateral, determined on a consolidated basis for the Issuer and its Restricted Subsidiaries (excluding any obligations in respect of hedging arrangements):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0"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c>
          <w:tcPr>
            <w:tcW w:w="959" w:type="dxa"/>
            <w:gridSpan w:val="4"/>
            <w:tcBorders/>
            <w:vAlign w:val="center"/>
          </w:tcPr>
          <w:p>
            <w:pPr>
              <w:pStyle w:val="TableContents"/>
              <w:bidi w:val="0"/>
              <w:spacing w:before="0" w:after="283"/>
              <w:jc w:val="left"/>
              <w:rPr>
                <w:sz w:val="4"/>
                <w:szCs w:val="4"/>
              </w:rPr>
            </w:pPr>
            <w:r>
              <w:rPr>
                <w:sz w:val="4"/>
                <w:szCs w:val="4"/>
              </w:rPr>
            </w:r>
          </w:p>
        </w:tc>
      </w:tr>
      <w:tr>
        <w:trPr/>
        <w:tc>
          <w:tcPr>
            <w:tcW w:w="170" w:type="dxa"/>
            <w:tcBorders/>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8752" w:type="dxa"/>
            <w:tcBorders/>
          </w:tcPr>
          <w:p>
            <w:pPr>
              <w:pStyle w:val="TableContents"/>
              <w:bidi w:val="0"/>
              <w:spacing w:before="0" w:after="0"/>
              <w:jc w:val="left"/>
              <w:rPr>
                <w:rFonts w:ascii="Times New Roman" w:hAnsi="Times New Roman"/>
                <w:sz w:val="20"/>
              </w:rPr>
            </w:pPr>
            <w:r>
              <w:rPr>
                <w:rFonts w:ascii="Times New Roman" w:hAnsi="Times New Roman"/>
                <w:sz w:val="20"/>
              </w:rPr>
              <w:t>(a)   all indebtedness of such Person for borrowed money or for the deferred purchase price of property or services (other than current trade payables or liabilities and deferred payment for services to employees or former employees incurred in the ordinary course of business and payable in accordance with customary practices, earn-outs, and other deferred compensation arrangements);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70"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c>
          <w:tcPr>
            <w:tcW w:w="959" w:type="dxa"/>
            <w:gridSpan w:val="4"/>
            <w:tcBorders/>
            <w:vAlign w:val="center"/>
          </w:tcPr>
          <w:p>
            <w:pPr>
              <w:pStyle w:val="TableContents"/>
              <w:bidi w:val="0"/>
              <w:spacing w:before="0" w:after="283"/>
              <w:jc w:val="left"/>
              <w:rPr>
                <w:sz w:val="4"/>
                <w:szCs w:val="4"/>
              </w:rPr>
            </w:pPr>
            <w:r>
              <w:rPr>
                <w:sz w:val="4"/>
                <w:szCs w:val="4"/>
              </w:rPr>
            </w:r>
          </w:p>
        </w:tc>
      </w:tr>
      <w:tr>
        <w:trPr/>
        <w:tc>
          <w:tcPr>
            <w:tcW w:w="170" w:type="dxa"/>
            <w:tcBorders/>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8752" w:type="dxa"/>
            <w:tcBorders/>
          </w:tcPr>
          <w:p>
            <w:pPr>
              <w:pStyle w:val="TableContents"/>
              <w:bidi w:val="0"/>
              <w:spacing w:before="0" w:after="0"/>
              <w:jc w:val="left"/>
              <w:rPr>
                <w:rFonts w:ascii="Times New Roman" w:hAnsi="Times New Roman"/>
                <w:sz w:val="20"/>
              </w:rPr>
            </w:pPr>
            <w:r>
              <w:rPr>
                <w:rFonts w:ascii="Times New Roman" w:hAnsi="Times New Roman"/>
                <w:sz w:val="20"/>
              </w:rPr>
              <w:t>(b)   the face amount of all letters of credit issued for the account of such Person and, without duplication, all drafts drawn thereunder (but, for the avoidance of doubt, determined without double-counting any “back-to-back” letter of credit arrangements whereby a letter of credit serves as collateral for drawings made under another letter of credit);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70"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c>
          <w:tcPr>
            <w:tcW w:w="959" w:type="dxa"/>
            <w:gridSpan w:val="4"/>
            <w:tcBorders/>
            <w:vAlign w:val="center"/>
          </w:tcPr>
          <w:p>
            <w:pPr>
              <w:pStyle w:val="TableContents"/>
              <w:bidi w:val="0"/>
              <w:spacing w:before="0" w:after="283"/>
              <w:jc w:val="left"/>
              <w:rPr>
                <w:sz w:val="4"/>
                <w:szCs w:val="4"/>
              </w:rPr>
            </w:pPr>
            <w:r>
              <w:rPr>
                <w:sz w:val="4"/>
                <w:szCs w:val="4"/>
              </w:rPr>
            </w:r>
          </w:p>
        </w:tc>
      </w:tr>
      <w:tr>
        <w:trPr/>
        <w:tc>
          <w:tcPr>
            <w:tcW w:w="170" w:type="dxa"/>
            <w:tcBorders/>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8752" w:type="dxa"/>
            <w:tcBorders/>
          </w:tcPr>
          <w:p>
            <w:pPr>
              <w:pStyle w:val="TableContents"/>
              <w:bidi w:val="0"/>
              <w:spacing w:before="0" w:after="0"/>
              <w:jc w:val="left"/>
              <w:rPr>
                <w:rFonts w:ascii="Times New Roman" w:hAnsi="Times New Roman"/>
                <w:sz w:val="20"/>
              </w:rPr>
            </w:pPr>
            <w:r>
              <w:rPr>
                <w:rFonts w:ascii="Times New Roman" w:hAnsi="Times New Roman"/>
                <w:sz w:val="20"/>
              </w:rPr>
              <w:t>(c)   all liabilities (other than obligations of such Person in respect of Leases) secured by any Lien on any property owned by such Person, to the extent attributable to such Person’s interest in such property, even though such Person has not assumed or become liable for the payment thereof;</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70"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c>
          <w:tcPr>
            <w:tcW w:w="959" w:type="dxa"/>
            <w:gridSpan w:val="4"/>
            <w:tcBorders/>
            <w:vAlign w:val="center"/>
          </w:tcPr>
          <w:p>
            <w:pPr>
              <w:pStyle w:val="TableContents"/>
              <w:bidi w:val="0"/>
              <w:spacing w:before="0" w:after="283"/>
              <w:jc w:val="left"/>
              <w:rPr>
                <w:sz w:val="4"/>
                <w:szCs w:val="4"/>
              </w:rPr>
            </w:pPr>
            <w:r>
              <w:rPr>
                <w:sz w:val="4"/>
                <w:szCs w:val="4"/>
              </w:rPr>
            </w:r>
          </w:p>
        </w:tc>
      </w:tr>
      <w:tr>
        <w:trPr/>
        <w:tc>
          <w:tcPr>
            <w:tcW w:w="170" w:type="dxa"/>
            <w:tcBorders/>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8752" w:type="dxa"/>
            <w:tcBorders/>
          </w:tcPr>
          <w:p>
            <w:pPr>
              <w:pStyle w:val="TableContents"/>
              <w:bidi w:val="0"/>
              <w:spacing w:before="0" w:after="0"/>
              <w:jc w:val="left"/>
              <w:rPr>
                <w:rFonts w:ascii="Times New Roman" w:hAnsi="Times New Roman"/>
                <w:sz w:val="20"/>
              </w:rPr>
            </w:pPr>
            <w:r>
              <w:rPr>
                <w:rFonts w:ascii="Times New Roman" w:hAnsi="Times New Roman"/>
                <w:sz w:val="20"/>
              </w:rPr>
              <w:t>(d)   [reserved];</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70"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c>
          <w:tcPr>
            <w:tcW w:w="959" w:type="dxa"/>
            <w:gridSpan w:val="4"/>
            <w:tcBorders/>
            <w:vAlign w:val="center"/>
          </w:tcPr>
          <w:p>
            <w:pPr>
              <w:pStyle w:val="TableContents"/>
              <w:bidi w:val="0"/>
              <w:spacing w:before="0" w:after="283"/>
              <w:jc w:val="left"/>
              <w:rPr>
                <w:sz w:val="4"/>
                <w:szCs w:val="4"/>
              </w:rPr>
            </w:pPr>
            <w:r>
              <w:rPr>
                <w:sz w:val="4"/>
                <w:szCs w:val="4"/>
              </w:rPr>
            </w:r>
          </w:p>
        </w:tc>
      </w:tr>
      <w:tr>
        <w:trPr/>
        <w:tc>
          <w:tcPr>
            <w:tcW w:w="170" w:type="dxa"/>
            <w:tcBorders/>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8752" w:type="dxa"/>
            <w:tcBorders/>
          </w:tcPr>
          <w:p>
            <w:pPr>
              <w:pStyle w:val="TableContents"/>
              <w:bidi w:val="0"/>
              <w:spacing w:before="0" w:after="0"/>
              <w:jc w:val="left"/>
              <w:rPr>
                <w:rFonts w:ascii="Times New Roman" w:hAnsi="Times New Roman"/>
                <w:sz w:val="20"/>
              </w:rPr>
            </w:pPr>
            <w:r>
              <w:rPr>
                <w:rFonts w:ascii="Times New Roman" w:hAnsi="Times New Roman"/>
                <w:sz w:val="20"/>
              </w:rPr>
              <w:t>(e)   obligations under any Earn-Out payable in cash (which for all purposes of the Indenture shall be valued at the amount reasonably likely to be payable with respect to such Earn-Out as expected to be reported on such Person’s financial statements);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1"/>
        <w:gridCol w:w="405"/>
        <w:gridCol w:w="8085"/>
        <w:gridCol w:w="245"/>
        <w:gridCol w:w="60"/>
        <w:gridCol w:w="1146"/>
        <w:gridCol w:w="63"/>
      </w:tblGrid>
      <w:tr>
        <w:trPr/>
        <w:tc>
          <w:tcPr>
            <w:tcW w:w="201"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808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SECURED NET LEVERAGE RATIO</w:t>
            </w:r>
          </w:p>
        </w:tc>
        <w:tc>
          <w:tcPr>
            <w:tcW w:w="63" w:type="dxa"/>
            <w:tcBorders/>
            <w:vAlign w:val="bottom"/>
          </w:tcPr>
          <w:p>
            <w:pPr>
              <w:pStyle w:val="TableContents"/>
              <w:bidi w:val="0"/>
              <w:spacing w:before="0" w:after="283"/>
              <w:jc w:val="left"/>
              <w:rPr/>
            </w:pPr>
            <w:r>
              <w:rPr/>
              <w:t> </w:t>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0"/>
              <w:jc w:val="left"/>
              <w:rPr>
                <w:rFonts w:ascii="Times New Roman" w:hAnsi="Times New Roman"/>
                <w:sz w:val="20"/>
              </w:rPr>
            </w:pPr>
            <w:r>
              <w:rPr>
                <w:rFonts w:ascii="Times New Roman" w:hAnsi="Times New Roman"/>
                <w:sz w:val="20"/>
              </w:rPr>
              <w:t>(f)   Disqualified Capital Stock;</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0"/>
              <w:jc w:val="left"/>
              <w:rPr>
                <w:rFonts w:ascii="Times New Roman" w:hAnsi="Times New Roman"/>
                <w:sz w:val="20"/>
              </w:rPr>
            </w:pPr>
            <w:r>
              <w:rPr>
                <w:rFonts w:ascii="Times New Roman" w:hAnsi="Times New Roman"/>
                <w:sz w:val="20"/>
              </w:rPr>
              <w:t>(g)   all indebtedness of such Person arising under acceptance facilities; but excluding (x) any obligation resulting from the existence of deferred revenue, including customer deposits and interest thereon in the ordinary course of business, (y) deferred rent and (z) trade and other accounts and accrued expenses payable in the ordinary course of business in accordance with customary trade terms13; and</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0"/>
              <w:jc w:val="left"/>
              <w:rPr>
                <w:rFonts w:ascii="Times New Roman" w:hAnsi="Times New Roman"/>
                <w:sz w:val="20"/>
              </w:rPr>
            </w:pPr>
            <w:r>
              <w:rPr>
                <w:rFonts w:ascii="Times New Roman" w:hAnsi="Times New Roman"/>
                <w:sz w:val="20"/>
              </w:rPr>
              <w:t>(h)   all Contingent Obligations of such person in respect of Indebtedness or obligations of others of the kinds referred to in clauses (a) through (g) above.</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283"/>
              <w:jc w:val="left"/>
              <w:rPr/>
            </w:pPr>
            <w:r>
              <w:rPr/>
              <w:t>Consolidated Secured Indebtedness:</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283"/>
              <w:jc w:val="left"/>
              <w:rPr>
                <w:b/>
                <w:u w:val="single"/>
              </w:rPr>
            </w:pPr>
            <w:r>
              <w:rPr>
                <w:b/>
                <w:u w:val="single"/>
              </w:rPr>
              <w:t>Minus</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283"/>
              <w:jc w:val="left"/>
              <w:rPr/>
            </w:pPr>
            <w:r>
              <w:rPr/>
              <w:t>Unrestricted Cash of the Issuer and its Restricted Subsidiaries (not to exceed $25,000,000):</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283"/>
              <w:jc w:val="left"/>
              <w:rPr/>
            </w:pPr>
            <w:r>
              <w:rPr/>
              <w:t>Total for item 1 minus item 2:</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283"/>
              <w:jc w:val="left"/>
              <w:rPr>
                <w:b/>
                <w:u w:val="single"/>
              </w:rPr>
            </w:pPr>
            <w:r>
              <w:rPr>
                <w:b/>
                <w:u w:val="single"/>
              </w:rPr>
              <w:t>Determination of Consolidated EBITDA (as calculated in Attachment 2):</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201" w:type="dxa"/>
            <w:tcBorders/>
            <w:vAlign w:val="center"/>
          </w:tcPr>
          <w:p>
            <w:pPr>
              <w:pStyle w:val="TableContents"/>
              <w:bidi w:val="0"/>
              <w:spacing w:before="0" w:after="283"/>
              <w:jc w:val="left"/>
              <w:rPr>
                <w:sz w:val="4"/>
                <w:szCs w:val="4"/>
              </w:rPr>
            </w:pPr>
            <w:r>
              <w:rPr>
                <w:sz w:val="4"/>
                <w:szCs w:val="4"/>
              </w:rPr>
            </w:r>
          </w:p>
        </w:tc>
        <w:tc>
          <w:tcPr>
            <w:tcW w:w="8490" w:type="dxa"/>
            <w:gridSpan w:val="2"/>
            <w:tcBorders/>
            <w:vAlign w:val="center"/>
          </w:tcPr>
          <w:p>
            <w:pPr>
              <w:pStyle w:val="TableContents"/>
              <w:bidi w:val="0"/>
              <w:spacing w:before="0" w:after="283"/>
              <w:jc w:val="left"/>
              <w:rPr>
                <w:sz w:val="4"/>
                <w:szCs w:val="4"/>
              </w:rPr>
            </w:pPr>
            <w:r>
              <w:rPr>
                <w:sz w:val="4"/>
                <w:szCs w:val="4"/>
              </w:rPr>
            </w:r>
          </w:p>
        </w:tc>
        <w:tc>
          <w:tcPr>
            <w:tcW w:w="1514" w:type="dxa"/>
            <w:gridSpan w:val="4"/>
            <w:tcBorders/>
            <w:vAlign w:val="center"/>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405" w:type="dxa"/>
            <w:tcBorders/>
            <w:vAlign w:val="bottom"/>
          </w:tcPr>
          <w:p>
            <w:pPr>
              <w:pStyle w:val="TableContents"/>
              <w:bidi w:val="0"/>
              <w:spacing w:before="0" w:after="283"/>
              <w:jc w:val="left"/>
              <w:rPr/>
            </w:pPr>
            <w:r>
              <w:rPr/>
              <w:t>  </w:t>
            </w:r>
          </w:p>
        </w:tc>
        <w:tc>
          <w:tcPr>
            <w:tcW w:w="8085" w:type="dxa"/>
            <w:tcBorders/>
          </w:tcPr>
          <w:p>
            <w:pPr>
              <w:pStyle w:val="TableContents"/>
              <w:bidi w:val="0"/>
              <w:spacing w:before="0" w:after="283"/>
              <w:jc w:val="left"/>
              <w:rPr/>
            </w:pPr>
            <w:r>
              <w:rPr>
                <w:b/>
                <w:u w:val="single"/>
              </w:rPr>
              <w:t>SECURED NET LEVERAGE RATIO</w:t>
            </w:r>
            <w:r>
              <w:rPr/>
              <w:t>: The ratio of the remainder of item 1 minus item 2 to item 3:</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center"/>
              <w:rPr>
                <w:b/>
              </w:rPr>
            </w:pPr>
            <w:r>
              <w:rPr>
                <w:b/>
              </w:rPr>
              <w:t>[____]:1.00</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(x) and (z), to the extent not overdue for a period of more than one hundred and twenty (120) days or, if overdue for more than one hundred and twenty (120) days, as to which a dispute exists and adequate reserves in conformity with GAAP have been established on the books of such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ATTACHMENT 4 </w:t>
      </w:r>
    </w:p>
    <w:p>
      <w:pPr>
        <w:pStyle w:val="TextBody"/>
        <w:bidi w:val="0"/>
        <w:spacing w:before="240" w:after="0"/>
        <w:jc w:val="center"/>
        <w:rPr>
          <w:rFonts w:ascii="Times New Roman" w:hAnsi="Times New Roman"/>
          <w:sz w:val="20"/>
        </w:rPr>
      </w:pPr>
      <w:r>
        <w:rPr>
          <w:rFonts w:ascii="Times New Roman" w:hAnsi="Times New Roman"/>
          <w:sz w:val="20"/>
        </w:rPr>
        <w:t xml:space="preserve">[TO </w:t>
      </w:r>
    </w:p>
    <w:p>
      <w:pPr>
        <w:pStyle w:val="TextBody"/>
        <w:bidi w:val="0"/>
        <w:spacing w:before="240" w:after="0"/>
        <w:jc w:val="center"/>
        <w:rPr>
          <w:rFonts w:ascii="Times New Roman" w:hAnsi="Times New Roman"/>
          <w:sz w:val="20"/>
        </w:rPr>
      </w:pPr>
      <w:r>
        <w:rPr>
          <w:rFonts w:ascii="Times New Roman" w:hAnsi="Times New Roman"/>
          <w:sz w:val="20"/>
        </w:rPr>
        <w:t xml:space="preserve">COMPLIANCE CERTIFICATE]14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
        <w:gridCol w:w="334"/>
        <w:gridCol w:w="8714"/>
        <w:gridCol w:w="150"/>
        <w:gridCol w:w="60"/>
        <w:gridCol w:w="711"/>
        <w:gridCol w:w="62"/>
      </w:tblGrid>
      <w:tr>
        <w:trPr/>
        <w:tc>
          <w:tcPr>
            <w:tcW w:w="174"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8714"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EXCESS CASH FLOW</w:t>
            </w:r>
          </w:p>
        </w:tc>
        <w:tc>
          <w:tcPr>
            <w:tcW w:w="62" w:type="dxa"/>
            <w:tcBorders/>
            <w:vAlign w:val="bottom"/>
          </w:tcPr>
          <w:p>
            <w:pPr>
              <w:pStyle w:val="TableContents"/>
              <w:bidi w:val="0"/>
              <w:spacing w:before="0" w:after="283"/>
              <w:jc w:val="left"/>
              <w:rPr/>
            </w:pPr>
            <w:r>
              <w:rPr/>
              <w:t> </w:t>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0"/>
              <w:jc w:val="left"/>
              <w:rPr>
                <w:rFonts w:ascii="Times New Roman" w:hAnsi="Times New Roman"/>
                <w:sz w:val="20"/>
              </w:rPr>
            </w:pPr>
            <w:r>
              <w:rPr>
                <w:rFonts w:ascii="Times New Roman" w:hAnsi="Times New Roman"/>
                <w:sz w:val="20"/>
              </w:rPr>
              <w:t>1.</w:t>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283"/>
              <w:jc w:val="left"/>
              <w:rPr>
                <w:b/>
                <w:u w:val="single"/>
              </w:rPr>
            </w:pPr>
            <w:r>
              <w:rPr>
                <w:b/>
                <w:u w:val="single"/>
              </w:rPr>
              <w:t>Determination of Excess Cash Flow</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283"/>
              <w:jc w:val="left"/>
              <w:rPr/>
            </w:pPr>
            <w:r>
              <w:rPr/>
              <w:t>With respect to the Issuer and its Restricted Subsidiaries, the sum of the amounts for such period (without duplication) of:</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(a)   Consolidated Operating Cash Flow;</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$________</w:t>
            </w:r>
          </w:p>
        </w:tc>
        <w:tc>
          <w:tcPr>
            <w:tcW w:w="62" w:type="dxa"/>
            <w:tcBorders/>
            <w:vAlign w:val="bottom"/>
          </w:tcPr>
          <w:p>
            <w:pPr>
              <w:pStyle w:val="TableContents"/>
              <w:bidi w:val="0"/>
              <w:spacing w:before="0" w:after="283"/>
              <w:jc w:val="left"/>
              <w:rPr/>
            </w:pPr>
            <w:r>
              <w:rPr/>
              <w:t> </w:t>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283"/>
              <w:jc w:val="left"/>
              <w:rPr>
                <w:b/>
                <w:u w:val="single"/>
              </w:rPr>
            </w:pPr>
            <w:r>
              <w:rPr>
                <w:b/>
                <w:u w:val="single"/>
              </w:rPr>
              <w:t>Plus: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(b)   without duplication and excluding any amounts that already increased Consolidated Operating Cash Flow pursuant to the definition thereof, cash proceeds received from the exercise of stock options; and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$________</w:t>
            </w:r>
          </w:p>
        </w:tc>
        <w:tc>
          <w:tcPr>
            <w:tcW w:w="62" w:type="dxa"/>
            <w:tcBorders/>
            <w:vAlign w:val="bottom"/>
          </w:tcPr>
          <w:p>
            <w:pPr>
              <w:pStyle w:val="TableContents"/>
              <w:bidi w:val="0"/>
              <w:spacing w:before="0" w:after="283"/>
              <w:jc w:val="left"/>
              <w:rPr/>
            </w:pPr>
            <w:r>
              <w:rPr/>
              <w:t> </w:t>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(c)   an amount equal to 66.7% of the Net Cash Proceeds (after commissions to agents and other associated ATM expenses) received by the Issuer and its Restricted Subsidiaries under any “at-the-market” equity distribution program during such Excess Cash Flow Period;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$________</w:t>
            </w:r>
          </w:p>
        </w:tc>
        <w:tc>
          <w:tcPr>
            <w:tcW w:w="62" w:type="dxa"/>
            <w:tcBorders/>
            <w:vAlign w:val="bottom"/>
          </w:tcPr>
          <w:p>
            <w:pPr>
              <w:pStyle w:val="TableContents"/>
              <w:bidi w:val="0"/>
              <w:spacing w:before="0" w:after="283"/>
              <w:jc w:val="left"/>
              <w:rPr/>
            </w:pPr>
            <w:r>
              <w:rPr/>
              <w:t> </w:t>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283"/>
              <w:jc w:val="left"/>
              <w:rPr/>
            </w:pPr>
            <w:r>
              <w:rPr>
                <w:b/>
                <w:u w:val="single"/>
              </w:rPr>
              <w:t>Minus</w:t>
            </w:r>
            <w:r>
              <w:rPr/>
              <w:t xml:space="preserve"> (without duplication, the sum of the amounts of):</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(d)   the amount of any employment taxes paid in cash in such Excess Cash Flow Period in connection with any long-term employee equity incentive compensation program or other stock-based employee compensation program;</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$________</w:t>
            </w:r>
          </w:p>
        </w:tc>
        <w:tc>
          <w:tcPr>
            <w:tcW w:w="62" w:type="dxa"/>
            <w:tcBorders/>
            <w:vAlign w:val="bottom"/>
          </w:tcPr>
          <w:p>
            <w:pPr>
              <w:pStyle w:val="TableContents"/>
              <w:bidi w:val="0"/>
              <w:spacing w:before="0" w:after="283"/>
              <w:jc w:val="left"/>
              <w:rPr/>
            </w:pPr>
            <w:r>
              <w:rPr/>
              <w:t> </w:t>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(e)   repurchases of Common Stock in connection with any stock-based employee compensation in such Excess Cash Flow Period;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$________</w:t>
            </w:r>
          </w:p>
        </w:tc>
        <w:tc>
          <w:tcPr>
            <w:tcW w:w="62" w:type="dxa"/>
            <w:tcBorders/>
            <w:vAlign w:val="bottom"/>
          </w:tcPr>
          <w:p>
            <w:pPr>
              <w:pStyle w:val="TableContents"/>
              <w:bidi w:val="0"/>
              <w:spacing w:before="0" w:after="283"/>
              <w:jc w:val="left"/>
              <w:rPr/>
            </w:pPr>
            <w:r>
              <w:rPr/>
              <w:t> </w:t>
            </w:r>
          </w:p>
        </w:tc>
      </w:tr>
      <w:tr>
        <w:trPr>
          <w:trHeight w:val="120" w:hRule="atLeast"/>
        </w:trPr>
        <w:tc>
          <w:tcPr>
            <w:tcW w:w="174" w:type="dxa"/>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c>
          <w:tcPr>
            <w:tcW w:w="983" w:type="dxa"/>
            <w:gridSpan w:val="4"/>
            <w:tcBorders/>
            <w:vAlign w:val="center"/>
          </w:tcPr>
          <w:p>
            <w:pPr>
              <w:pStyle w:val="TableContents"/>
              <w:bidi w:val="0"/>
              <w:spacing w:before="0" w:after="283"/>
              <w:jc w:val="left"/>
              <w:rPr>
                <w:sz w:val="4"/>
                <w:szCs w:val="4"/>
              </w:rPr>
            </w:pPr>
            <w:r>
              <w:rPr>
                <w:sz w:val="4"/>
                <w:szCs w:val="4"/>
              </w:rPr>
            </w:r>
          </w:p>
        </w:tc>
      </w:tr>
      <w:tr>
        <w:trPr/>
        <w:tc>
          <w:tcPr>
            <w:tcW w:w="174" w:type="dxa"/>
            <w:tcBorders/>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8714" w:type="dxa"/>
            <w:tcBorders/>
          </w:tcPr>
          <w:p>
            <w:pPr>
              <w:pStyle w:val="TableContents"/>
              <w:bidi w:val="0"/>
              <w:spacing w:before="0" w:after="0"/>
              <w:jc w:val="left"/>
              <w:rPr>
                <w:rFonts w:ascii="Times New Roman" w:hAnsi="Times New Roman"/>
                <w:sz w:val="20"/>
              </w:rPr>
            </w:pPr>
            <w:r>
              <w:rPr>
                <w:rFonts w:ascii="Times New Roman" w:hAnsi="Times New Roman"/>
                <w:sz w:val="20"/>
              </w:rPr>
              <w:t>(f)   Capital Expenditures during such Excess Cash Flow Period used or useful in the business engaged in by the Issuer and its Subsidiaries on the Closing Date;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$________</w:t>
            </w:r>
          </w:p>
        </w:tc>
        <w:tc>
          <w:tcPr>
            <w:tcW w:w="62"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inserted only in connection with the delivery of annual financial statements pursuant to Section 5.03(a) of the Indenture, starting with the first full fiscal year after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1"/>
        <w:gridCol w:w="321"/>
        <w:gridCol w:w="8818"/>
        <w:gridCol w:w="124"/>
        <w:gridCol w:w="60"/>
        <w:gridCol w:w="718"/>
        <w:gridCol w:w="63"/>
      </w:tblGrid>
      <w:tr>
        <w:trPr/>
        <w:tc>
          <w:tcPr>
            <w:tcW w:w="101"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81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EXCESS CASH FLOW</w:t>
            </w:r>
          </w:p>
        </w:tc>
        <w:tc>
          <w:tcPr>
            <w:tcW w:w="63" w:type="dxa"/>
            <w:tcBorders/>
            <w:vAlign w:val="bottom"/>
          </w:tcPr>
          <w:p>
            <w:pPr>
              <w:pStyle w:val="TableContents"/>
              <w:bidi w:val="0"/>
              <w:spacing w:before="0" w:after="283"/>
              <w:jc w:val="left"/>
              <w:rPr/>
            </w:pPr>
            <w:r>
              <w:rPr/>
              <w:t> </w:t>
            </w:r>
          </w:p>
        </w:tc>
      </w:tr>
      <w:tr>
        <w:trPr>
          <w:trHeight w:val="120" w:hRule="atLeast"/>
        </w:trPr>
        <w:tc>
          <w:tcPr>
            <w:tcW w:w="101"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01" w:type="dxa"/>
            <w:tcBorders/>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0"/>
              <w:jc w:val="left"/>
              <w:rPr>
                <w:rFonts w:ascii="Times New Roman" w:hAnsi="Times New Roman"/>
                <w:sz w:val="20"/>
              </w:rPr>
            </w:pPr>
            <w:r>
              <w:rPr>
                <w:rFonts w:ascii="Times New Roman" w:hAnsi="Times New Roman"/>
                <w:sz w:val="20"/>
              </w:rPr>
              <w:t>(g)   any repayments, retirements, redemptions or other repurchases of any ABL Obligations in such Excess Cash Flow Period;15</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1"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01" w:type="dxa"/>
            <w:tcBorders/>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0"/>
              <w:jc w:val="left"/>
              <w:rPr>
                <w:rFonts w:ascii="Times New Roman" w:hAnsi="Times New Roman"/>
                <w:sz w:val="20"/>
              </w:rPr>
            </w:pPr>
            <w:r>
              <w:rPr>
                <w:rFonts w:ascii="Times New Roman" w:hAnsi="Times New Roman"/>
                <w:sz w:val="20"/>
              </w:rPr>
              <w:t>(h)   any charges in respect of Capital Lease Obligations or other lease obligations in such Excess Cash Flow Period;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1"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01" w:type="dxa"/>
            <w:tcBorders/>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0"/>
              <w:jc w:val="left"/>
              <w:rPr>
                <w:rFonts w:ascii="Times New Roman" w:hAnsi="Times New Roman"/>
                <w:sz w:val="20"/>
              </w:rPr>
            </w:pPr>
            <w:r>
              <w:rPr>
                <w:rFonts w:ascii="Times New Roman" w:hAnsi="Times New Roman"/>
                <w:sz w:val="20"/>
              </w:rPr>
              <w:t>(i) debt issuance costs including in respect of Refinanced Debt in such Excess Cash Flow Period;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1"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01" w:type="dxa"/>
            <w:tcBorders/>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0"/>
              <w:jc w:val="left"/>
              <w:rPr>
                <w:rFonts w:ascii="Times New Roman" w:hAnsi="Times New Roman"/>
                <w:sz w:val="20"/>
              </w:rPr>
            </w:pPr>
            <w:r>
              <w:rPr>
                <w:rFonts w:ascii="Times New Roman" w:hAnsi="Times New Roman"/>
                <w:sz w:val="20"/>
              </w:rPr>
              <w:t>(j) payments on short-term Indebtedness and payments on long-term liabilities (other than Indebtedness) in such Excess Cash Flow Period;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1"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01" w:type="dxa"/>
            <w:tcBorders/>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0"/>
              <w:jc w:val="left"/>
              <w:rPr>
                <w:rFonts w:ascii="Times New Roman" w:hAnsi="Times New Roman"/>
                <w:sz w:val="20"/>
              </w:rPr>
            </w:pPr>
            <w:r>
              <w:rPr>
                <w:rFonts w:ascii="Times New Roman" w:hAnsi="Times New Roman"/>
                <w:sz w:val="20"/>
              </w:rPr>
              <w:t>(k)   any decrease in cash as a result of impacts of foreign exchange rates (but plus any amount of an increase in cash as a result thereto) in such Excess Cash Flow Period;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1"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01" w:type="dxa"/>
            <w:tcBorders/>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0"/>
              <w:jc w:val="left"/>
              <w:rPr>
                <w:rFonts w:ascii="Times New Roman" w:hAnsi="Times New Roman"/>
                <w:sz w:val="20"/>
              </w:rPr>
            </w:pPr>
            <w:r>
              <w:rPr>
                <w:rFonts w:ascii="Times New Roman" w:hAnsi="Times New Roman"/>
                <w:sz w:val="20"/>
              </w:rPr>
              <w:t>(l) any contingent liability payments (including Earn-Outs) and any Investments, in each case, made in cash and permitted to be made hereunder in such Excess Cash Flow Period; and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r>
        <w:trPr>
          <w:trHeight w:val="120" w:hRule="atLeast"/>
        </w:trPr>
        <w:tc>
          <w:tcPr>
            <w:tcW w:w="101"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01" w:type="dxa"/>
            <w:tcBorders/>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0"/>
              <w:jc w:val="left"/>
              <w:rPr>
                <w:rFonts w:ascii="Times New Roman" w:hAnsi="Times New Roman"/>
                <w:sz w:val="20"/>
              </w:rPr>
            </w:pPr>
            <w:r>
              <w:rPr>
                <w:rFonts w:ascii="Times New Roman" w:hAnsi="Times New Roman"/>
                <w:sz w:val="20"/>
              </w:rPr>
              <w:t>(m) any Taxes paid by the Issuer and its Restricted Subsidiaries in such Excess Cash Flow Period.</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1" w:type="dxa"/>
            <w:tcBorders/>
            <w:vAlign w:val="center"/>
          </w:tcPr>
          <w:p>
            <w:pPr>
              <w:pStyle w:val="TableContents"/>
              <w:bidi w:val="0"/>
              <w:spacing w:before="0" w:after="283"/>
              <w:jc w:val="left"/>
              <w:rPr>
                <w:sz w:val="4"/>
                <w:szCs w:val="4"/>
              </w:rPr>
            </w:pPr>
            <w:r>
              <w:rPr>
                <w:sz w:val="4"/>
                <w:szCs w:val="4"/>
              </w:rPr>
            </w:r>
          </w:p>
        </w:tc>
        <w:tc>
          <w:tcPr>
            <w:tcW w:w="9139" w:type="dxa"/>
            <w:gridSpan w:val="2"/>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101" w:type="dxa"/>
            <w:tcBorders/>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818" w:type="dxa"/>
            <w:tcBorders/>
          </w:tcPr>
          <w:p>
            <w:pPr>
              <w:pStyle w:val="TableContents"/>
              <w:bidi w:val="0"/>
              <w:spacing w:before="0" w:after="283"/>
              <w:jc w:val="left"/>
              <w:rPr>
                <w:b/>
              </w:rPr>
            </w:pPr>
            <w:r>
              <w:rPr>
                <w:b/>
              </w:rPr>
              <w:t>Excess Cash Flow:</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$________</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repayments, retirements, redemptions or other repurchases in excess of $15,000,000 in any Excess Cash Flow Period shall not be deducted pursuant to this clause (g) unless accompanied by a permanent reduction in the commitments under the ABL 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C-11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D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INTEREST ELECTION REQUEST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Paying Agent and Calculation Agent </w:t>
      </w:r>
    </w:p>
    <w:p>
      <w:pPr>
        <w:pStyle w:val="TextBody"/>
        <w:bidi w:val="0"/>
        <w:spacing w:before="0" w:after="0"/>
        <w:jc w:val="left"/>
        <w:rPr>
          <w:rFonts w:ascii="Times New Roman" w:hAnsi="Times New Roman"/>
          <w:sz w:val="20"/>
        </w:rPr>
      </w:pPr>
      <w:r>
        <w:rPr>
          <w:rFonts w:ascii="Times New Roman" w:hAnsi="Times New Roman"/>
          <w:sz w:val="20"/>
        </w:rPr>
        <w:t xml:space="preserve">333 Commerce Street, Suite 900 </w:t>
      </w:r>
    </w:p>
    <w:p>
      <w:pPr>
        <w:pStyle w:val="TextBody"/>
        <w:bidi w:val="0"/>
        <w:spacing w:before="0" w:after="0"/>
        <w:jc w:val="left"/>
        <w:rPr>
          <w:rFonts w:ascii="Times New Roman" w:hAnsi="Times New Roman"/>
          <w:sz w:val="20"/>
        </w:rPr>
      </w:pPr>
      <w:r>
        <w:rPr>
          <w:rFonts w:ascii="Times New Roman" w:hAnsi="Times New Roman"/>
          <w:sz w:val="20"/>
        </w:rPr>
        <w:t xml:space="preserve">Nashville, Tennessee 37201 </w:t>
      </w:r>
    </w:p>
    <w:p>
      <w:pPr>
        <w:pStyle w:val="TextBody"/>
        <w:bidi w:val="0"/>
        <w:spacing w:before="0" w:after="0"/>
        <w:jc w:val="left"/>
        <w:rPr>
          <w:rFonts w:ascii="Times New Roman" w:hAnsi="Times New Roman"/>
          <w:sz w:val="20"/>
        </w:rPr>
      </w:pPr>
      <w:r>
        <w:rPr>
          <w:rFonts w:ascii="Times New Roman" w:hAnsi="Times New Roman"/>
          <w:sz w:val="20"/>
        </w:rPr>
        <w:t xml:space="preserve">Attention: Wally Jones </w:t>
      </w:r>
    </w:p>
    <w:p>
      <w:pPr>
        <w:pStyle w:val="TextBody"/>
        <w:bidi w:val="0"/>
        <w:spacing w:before="240" w:after="0"/>
        <w:jc w:val="left"/>
        <w:rPr>
          <w:rFonts w:ascii="Times New Roman" w:hAnsi="Times New Roman"/>
          <w:sz w:val="20"/>
        </w:rPr>
      </w:pPr>
      <w:r>
        <w:rPr>
          <w:rFonts w:ascii="Times New Roman" w:hAnsi="Times New Roman"/>
          <w:sz w:val="20"/>
        </w:rPr>
        <w:t xml:space="preserve">[] [], 20[] </w:t>
      </w:r>
    </w:p>
    <w:p>
      <w:pPr>
        <w:pStyle w:val="TextBody"/>
        <w:bidi w:val="0"/>
        <w:spacing w:before="24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Reference is made to the Indenture dated as of [__], 20[ ] (as amended, supplemented, modified, refinanced and/or restated from time to time, the “</w:t>
      </w:r>
      <w:r>
        <w:rPr>
          <w:rFonts w:ascii="Times New Roman" w:hAnsi="Times New Roman"/>
          <w:b/>
          <w:sz w:val="20"/>
        </w:rPr>
        <w:t>Indenture</w:t>
      </w:r>
      <w:r>
        <w:rPr>
          <w:rFonts w:ascii="Times New Roman" w:hAnsi="Times New Roman"/>
          <w:sz w:val="20"/>
        </w:rPr>
        <w:t xml:space="preserve">”) by and among </w:t>
      </w:r>
      <w:r>
        <w:rPr>
          <w:rFonts w:ascii="Times New Roman" w:hAnsi="Times New Roman"/>
          <w:b/>
          <w:sz w:val="20"/>
        </w:rPr>
        <w:t>KLX ENERGY SERVICES HOLDINGS, INC.</w:t>
      </w:r>
      <w:r>
        <w:rPr>
          <w:rFonts w:ascii="Times New Roman" w:hAnsi="Times New Roman"/>
          <w:sz w:val="20"/>
        </w:rPr>
        <w:t>, a Delaware corporation (the “</w:t>
      </w:r>
      <w:r>
        <w:rPr>
          <w:rFonts w:ascii="Times New Roman" w:hAnsi="Times New Roman"/>
          <w:b/>
          <w:sz w:val="20"/>
        </w:rPr>
        <w:t>Issuer</w:t>
      </w:r>
      <w:r>
        <w:rPr>
          <w:rFonts w:ascii="Times New Roman" w:hAnsi="Times New Roman"/>
          <w:sz w:val="20"/>
        </w:rPr>
        <w:t>”), each of the Guarantors from time to time party thereto, and U.S. BANK TRUST COMPANY, NATIONAL ASSOCIATION, as trustee (in such capacity, together with its successors and assigns, the “</w:t>
      </w:r>
      <w:r>
        <w:rPr>
          <w:rFonts w:ascii="Times New Roman" w:hAnsi="Times New Roman"/>
          <w:b/>
          <w:sz w:val="20"/>
        </w:rPr>
        <w:t>Trustee</w:t>
      </w:r>
      <w:r>
        <w:rPr>
          <w:rFonts w:ascii="Times New Roman" w:hAnsi="Times New Roman"/>
          <w:sz w:val="20"/>
        </w:rPr>
        <w:t xml:space="preserve">”) and as notes collateral agent for the Secured Parties. Capitalized terms used herein and not otherwise defined herein shall have the meanings assigned to such teams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2.13(a) of the Indenture, undersigned Issuer hereby request[s] (select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conversion of the Notes from [ABR Notes][SOFR Notes] to [SOFR Notes][ABR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continuation of the Notes as [SOFR Notes][ABR Notes]. _______________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 made on the terms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Notes shall [convert][continue] as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Period:16                   _________________________________________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Margin:                  _________________________________________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request complies with the notice requirements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Issuer hereby represents and warrants to the Trustee, the Paying Agent and the Calculation Agent that, on the date of this Interest Election and on the date of the related interest payment, the conditions to such election set forth in the Indenture have been satisfied or waived and that such Interest Election is authorized or permitted by the Indenture.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for SOFR Notes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KLX ENERGY SERVICES HOLDINGS, INC.</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D-2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bookmarkStart w:id="5" w:name="exe"/>
      <w:bookmarkEnd w:id="5"/>
      <w:r>
        <w:rPr>
          <w:rFonts w:ascii="Times New Roman" w:hAnsi="Times New Roman"/>
          <w:b/>
          <w:sz w:val="20"/>
        </w:rPr>
        <w:t xml:space="preserve">EXHIBIT E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PIK INTEREST ELECTION NOTICE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333 Commerce Street, Suite 900 </w:t>
      </w:r>
    </w:p>
    <w:p>
      <w:pPr>
        <w:pStyle w:val="TextBody"/>
        <w:bidi w:val="0"/>
        <w:spacing w:before="0" w:after="0"/>
        <w:jc w:val="left"/>
        <w:rPr>
          <w:rFonts w:ascii="Times New Roman" w:hAnsi="Times New Roman"/>
          <w:sz w:val="20"/>
        </w:rPr>
      </w:pPr>
      <w:r>
        <w:rPr>
          <w:rFonts w:ascii="Times New Roman" w:hAnsi="Times New Roman"/>
          <w:sz w:val="20"/>
        </w:rPr>
        <w:t xml:space="preserve">Nashville, Tennessee 37201 </w:t>
      </w:r>
    </w:p>
    <w:p>
      <w:pPr>
        <w:pStyle w:val="TextBody"/>
        <w:bidi w:val="0"/>
        <w:spacing w:before="0" w:after="0"/>
        <w:jc w:val="left"/>
        <w:rPr>
          <w:rFonts w:ascii="Times New Roman" w:hAnsi="Times New Roman"/>
          <w:sz w:val="20"/>
        </w:rPr>
      </w:pPr>
      <w:r>
        <w:rPr>
          <w:rFonts w:ascii="Times New Roman" w:hAnsi="Times New Roman"/>
          <w:sz w:val="20"/>
        </w:rPr>
        <w:t xml:space="preserve">Attention: Wally Jones </w:t>
      </w:r>
    </w:p>
    <w:p>
      <w:pPr>
        <w:pStyle w:val="TextBody"/>
        <w:bidi w:val="0"/>
        <w:spacing w:before="240" w:after="0"/>
        <w:jc w:val="right"/>
        <w:rPr>
          <w:rFonts w:ascii="Times New Roman" w:hAnsi="Times New Roman"/>
          <w:sz w:val="20"/>
        </w:rPr>
      </w:pPr>
      <w:r>
        <w:rPr>
          <w:rFonts w:ascii="Times New Roman" w:hAnsi="Times New Roman"/>
          <w:sz w:val="20"/>
        </w:rPr>
        <w:t xml:space="preserve">[], 20[]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KLX Energy Services Holdings, Inc., a Delaware corporation (the “</w:t>
      </w:r>
      <w:r>
        <w:rPr>
          <w:rFonts w:ascii="Times New Roman" w:hAnsi="Times New Roman"/>
          <w:sz w:val="20"/>
          <w:u w:val="single"/>
        </w:rPr>
        <w:t>Issuer</w:t>
      </w:r>
      <w:r>
        <w:rPr>
          <w:rFonts w:ascii="Times New Roman" w:hAnsi="Times New Roman"/>
          <w:sz w:val="20"/>
        </w:rPr>
        <w:t>”) refers to that certain Amended and Restated Indenture, dated as of [    ], 20[ ] (as further amended, amended and restated, supplemented or otherwise modified from time to time, the “</w:t>
      </w:r>
      <w:r>
        <w:rPr>
          <w:rFonts w:ascii="Times New Roman" w:hAnsi="Times New Roman"/>
          <w:sz w:val="20"/>
          <w:u w:val="single"/>
        </w:rPr>
        <w:t>Indenture</w:t>
      </w:r>
      <w:r>
        <w:rPr>
          <w:rFonts w:ascii="Times New Roman" w:hAnsi="Times New Roman"/>
          <w:sz w:val="20"/>
        </w:rPr>
        <w:t>”), by and among the Issuer, the Guarantors party thereto, and U.S. Bank Trust Company, National Association, as trustee (the “</w:t>
      </w:r>
      <w:r>
        <w:rPr>
          <w:rFonts w:ascii="Times New Roman" w:hAnsi="Times New Roman"/>
          <w:sz w:val="20"/>
          <w:u w:val="single"/>
        </w:rPr>
        <w:t>Trustee</w:t>
      </w:r>
      <w:r>
        <w:rPr>
          <w:rFonts w:ascii="Times New Roman" w:hAnsi="Times New Roman"/>
          <w:sz w:val="20"/>
        </w:rPr>
        <w:t xml:space="preserve">”) and as collateral agent. Unless otherwise defined herein, capitalized terms used in this PIK Interest Election Notice have the meanings ascribed thereto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notice constitutes a PIK Interest Election Notice, and the Issuer hereby gives you notice pursuant to </w:t>
      </w:r>
      <w:r>
        <w:rPr>
          <w:rFonts w:ascii="Times New Roman" w:hAnsi="Times New Roman"/>
          <w:sz w:val="20"/>
          <w:u w:val="single"/>
        </w:rPr>
        <w:t>Section 2.13(e)</w:t>
      </w:r>
      <w:r>
        <w:rPr>
          <w:rFonts w:ascii="Times New Roman" w:hAnsi="Times New Roman"/>
          <w:sz w:val="20"/>
        </w:rPr>
        <w:t xml:space="preserve"> of the Indenture, in respect of the [Interest Period commencing [__], 202[ ], the Issuer is electing to pay PIK Interest on the applicable Interest Payment Date for such Interest Period]17[ period commencing on the Interest Payment Date of [__], 202[ ], the Issuer is electing to pay PIK Interest on the next Interest Payment Date]18 and it shall pay such interest on the Notes due on such Interest Payment Date as follows for the upcoming Interest Payment Date of [    ]19 (the “Applicable PIK Interest Payment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3"/>
        <w:gridCol w:w="9799"/>
      </w:tblGrid>
      <w:tr>
        <w:trPr/>
        <w:tc>
          <w:tcPr>
            <w:tcW w:w="20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[___]% shall be paid in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203"/>
        <w:gridCol w:w="9799"/>
      </w:tblGrid>
      <w:tr>
        <w:trPr/>
        <w:tc>
          <w:tcPr>
            <w:tcW w:w="20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[___]% shall be paid in kind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Global Notes currently outstanding, the Issuer hereby directs the Trustee to adjust the Register to reflect an increase in the aggregate outstanding principal amount of the Notes by the amount of PIK Interest required to be paid on the Global Notes for the Interest Payment Date referenced above in the manner set forth above, rounded up to the nearest whole Dollar.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SOFR Elections.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ABR Elections.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SOFR Elections, include the Interest Payment Date for the applicable Interest Period. For ABR Elections, include the subsequent Interest Payment Date for which such election applies.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definitive Notes currently outstanding on or before ten (10) days prior to the Applicable PIK Interest Payment Date, the Issuer shall deliver to the Trustee executed PIK Notes accompanied by an Authentication Order directing the authentication of such PIK Notes on the Applicable PIK Interest Payment Date reflecting an increase in the aggregate outstanding principal amount of the Notes by the amount of PIK Interest required to be paid on the definitive Notes for the Applicable PIK Interest Payment Date, rounded up to the nearest whole Dollar.] </w:t>
      </w:r>
    </w:p>
    <w:p>
      <w:pPr>
        <w:pStyle w:val="TextBody"/>
        <w:bidi w:val="0"/>
        <w:spacing w:before="240" w:after="0"/>
        <w:jc w:val="left"/>
        <w:rPr>
          <w:rFonts w:ascii="Times New Roman" w:hAnsi="Times New Roman"/>
          <w:sz w:val="20"/>
        </w:rPr>
      </w:pPr>
      <w:r>
        <w:rPr>
          <w:rFonts w:ascii="Times New Roman" w:hAnsi="Times New Roman"/>
          <w:sz w:val="20"/>
        </w:rPr>
        <w:t xml:space="preserve">Delivery of an executed counterpart of this PIK Interest Election Notice by electronic transmission shall be effective as delivery of an original executed counterpart of this PIK Interest Election Notice.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KLX ENERGY SERVICES HOLDINGS, INC.</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F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TO BE DELIVERED BY SUBSEQUENT GUARANTORS </w:t>
      </w:r>
    </w:p>
    <w:p>
      <w:pPr>
        <w:pStyle w:val="TextBody"/>
        <w:bidi w:val="0"/>
        <w:spacing w:before="240" w:after="0"/>
        <w:jc w:val="left"/>
        <w:rPr>
          <w:rFonts w:ascii="Times New Roman" w:hAnsi="Times New Roman"/>
          <w:sz w:val="20"/>
        </w:rPr>
      </w:pPr>
      <w:r>
        <w:rPr>
          <w:rFonts w:ascii="Times New Roman" w:hAnsi="Times New Roman"/>
          <w:sz w:val="20"/>
        </w:rPr>
        <w:t>Supplemental Indenture (this “</w:t>
      </w:r>
      <w:r>
        <w:rPr>
          <w:rFonts w:ascii="Times New Roman" w:hAnsi="Times New Roman"/>
          <w:b/>
          <w:sz w:val="20"/>
        </w:rPr>
        <w:t>Supplemental Indenture</w:t>
      </w:r>
      <w:r>
        <w:rPr>
          <w:rFonts w:ascii="Times New Roman" w:hAnsi="Times New Roman"/>
          <w:sz w:val="20"/>
        </w:rPr>
        <w:t>”), dated as of [</w:t>
      </w:r>
      <w:r>
        <w:rPr>
          <w:rFonts w:ascii="Times New Roman" w:hAnsi="Times New Roman"/>
          <w:sz w:val="20"/>
          <w:u w:val="single"/>
        </w:rPr>
        <w:t>    </w:t>
      </w:r>
      <w:r>
        <w:rPr>
          <w:rFonts w:ascii="Times New Roman" w:hAnsi="Times New Roman"/>
          <w:sz w:val="20"/>
        </w:rPr>
        <w:t>]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among </w:t>
      </w:r>
      <w:r>
        <w:rPr>
          <w:rFonts w:ascii="Times New Roman" w:hAnsi="Times New Roman"/>
          <w:sz w:val="20"/>
          <w:u w:val="single"/>
        </w:rPr>
        <w:t>    </w:t>
      </w:r>
      <w:r>
        <w:rPr>
          <w:rFonts w:ascii="Times New Roman" w:hAnsi="Times New Roman"/>
          <w:sz w:val="20"/>
        </w:rPr>
        <w:t xml:space="preserve"> (the “</w:t>
      </w:r>
      <w:r>
        <w:rPr>
          <w:rFonts w:ascii="Times New Roman" w:hAnsi="Times New Roman"/>
          <w:b/>
          <w:sz w:val="20"/>
        </w:rPr>
        <w:t>Guaranteeing Subsidiary</w:t>
      </w:r>
      <w:r>
        <w:rPr>
          <w:rFonts w:ascii="Times New Roman" w:hAnsi="Times New Roman"/>
          <w:sz w:val="20"/>
        </w:rPr>
        <w:t>”), a subsidiary of KLX Energy Services Holdings, Inc., a Delaware corporation (the “</w:t>
      </w:r>
      <w:r>
        <w:rPr>
          <w:rFonts w:ascii="Times New Roman" w:hAnsi="Times New Roman"/>
          <w:b/>
          <w:sz w:val="20"/>
        </w:rPr>
        <w:t>Company</w:t>
      </w:r>
      <w:r>
        <w:rPr>
          <w:rFonts w:ascii="Times New Roman" w:hAnsi="Times New Roman"/>
          <w:sz w:val="20"/>
        </w:rPr>
        <w:t>”), U.S. Bank Trust Company, National Association, as trustee (the “</w:t>
      </w:r>
      <w:r>
        <w:rPr>
          <w:rFonts w:ascii="Times New Roman" w:hAnsi="Times New Roman"/>
          <w:b/>
          <w:sz w:val="20"/>
        </w:rPr>
        <w:t>Trustee</w:t>
      </w:r>
      <w:r>
        <w:rPr>
          <w:rFonts w:ascii="Times New Roman" w:hAnsi="Times New Roman"/>
          <w:sz w:val="20"/>
        </w:rPr>
        <w:t>”) and U.S. Bank Trust Company, National Association, as notes collateral agent (the “</w:t>
      </w:r>
      <w:r>
        <w:rPr>
          <w:rFonts w:ascii="Times New Roman" w:hAnsi="Times New Roman"/>
          <w:b/>
          <w:sz w:val="20"/>
        </w:rPr>
        <w:t>Collateral Agent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each of the Issuer and the Guarantors (as defined in the Indenture referred to below) has heretofore executed and delivered to the Trustee an amended and restated indenture (the “</w:t>
      </w:r>
      <w:r>
        <w:rPr>
          <w:rFonts w:ascii="Times New Roman" w:hAnsi="Times New Roman"/>
          <w:b/>
          <w:sz w:val="20"/>
        </w:rPr>
        <w:t>Indenture</w:t>
      </w:r>
      <w:r>
        <w:rPr>
          <w:rFonts w:ascii="Times New Roman" w:hAnsi="Times New Roman"/>
          <w:sz w:val="20"/>
        </w:rPr>
        <w:t>”), dated as of [__], 20[ ], providing for the issuance of an unlimited aggregate principal amount of Senior Secured Floating Rate Cash / PIK Notes due 2030 (the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 9.01 of the Indenture, the Trustee and the Collateral Agent are authorized to execute and deliver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parties mutually covenant and agree for the equal and ratable benefit of the Holders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Capitalized Terms</w:t>
      </w:r>
      <w:r>
        <w:rPr>
          <w:rFonts w:ascii="Times New Roman" w:hAnsi="Times New Roman"/>
          <w:sz w:val="20"/>
        </w:rPr>
        <w:t xml:space="preserve">. Capitalized terms used herein without definition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Guarantor</w:t>
      </w:r>
      <w:r>
        <w:rPr>
          <w:rFonts w:ascii="Times New Roman" w:hAnsi="Times New Roman"/>
          <w:sz w:val="20"/>
        </w:rPr>
        <w:t xml:space="preserve">. The Guaranteeing Subsidiary hereby agrees to be a Guarantor under the Indenture and to be bound by the terms of the Indenture applicable to Guarantors, including Article XII thereof.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Governing Law</w:t>
      </w:r>
      <w:r>
        <w:rPr>
          <w:rFonts w:ascii="Times New Roman" w:hAnsi="Times New Roman"/>
          <w:sz w:val="20"/>
        </w:rPr>
        <w:t xml:space="preserve">. THIS SUPPLEMENTAL INDENTURE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Waiver of Jury Trial</w:t>
      </w:r>
      <w:r>
        <w:rPr>
          <w:rFonts w:ascii="Times New Roman" w:hAnsi="Times New Roman"/>
          <w:sz w:val="20"/>
        </w:rPr>
        <w:t xml:space="preserve">. EACH OF THE GUARANTEEING SUBSIDIARY, THE TRUSTEE AND THE COLLATERAL AGENT HEREBY IRREVOCABLY WAIVES, TO THE FULLEST EXTENT PERMITTED BY APPLICABLE LAW, ANY AND ALL RIGHT TO TRIAL BY JURY IN ANY LEGAL PROCEEDING ARISING OUT OF OR RELATING TO THIS SUPPLEMENTAL INDENTURE, THE INDENTURE, THE NOTES, THE GUARANTEES OR THE TRANSACTIONS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Counterparts</w:t>
      </w:r>
      <w:r>
        <w:rPr>
          <w:rFonts w:ascii="Times New Roman" w:hAnsi="Times New Roman"/>
          <w:sz w:val="20"/>
        </w:rPr>
        <w:t xml:space="preserve">. The parties may sign any number of copies of this Supplemental Indenture. Each signed copy shall be an original, but all of them together represent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Headings</w:t>
      </w:r>
      <w:r>
        <w:rPr>
          <w:rFonts w:ascii="Times New Roman" w:hAnsi="Times New Roman"/>
          <w:sz w:val="20"/>
        </w:rPr>
        <w:t xml:space="preserve">. The headings of the Sections of this Supplemental Indenture have been inserted for convenience of reference only, are not to be considered a part of this Supplemental Indenture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The Trustee and the Collateral Agent</w:t>
      </w:r>
      <w:r>
        <w:rPr>
          <w:rFonts w:ascii="Times New Roman" w:hAnsi="Times New Roman"/>
          <w:sz w:val="20"/>
        </w:rPr>
        <w:t xml:space="preserve">. In entering into this Supplemental Indenture, the Trustee and the Collateral Agent shall be entitled to the benefit of every provision of the Indenture relating to the conduct or affecting the liability of or affording protection to the Trustee or the Collateral Agent, as applicable, whether or not elsewhere herein so provided. Neither the Trustee nor the Collateral Agent makes any representations as to the validity, execution or sufficiency of this Supplemental Indenture other than as to the validity of its execution and delivery by the Trustee and the Collateral Agent. Neither the Trustee nor the Collateral Agent assumes any responsibility for the correctness of the recitals contained herein, which shall be taken as a statement of the Guaranteeing Subsidiary.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all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5"/>
        <w:gridCol w:w="123"/>
        <w:gridCol w:w="3284"/>
      </w:tblGrid>
      <w:tr>
        <w:trPr/>
        <w:tc>
          <w:tcPr>
            <w:tcW w:w="6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GUARANTEEING SUBSIDIARY]</w:t>
            </w:r>
          </w:p>
        </w:tc>
      </w:tr>
      <w:tr>
        <w:trPr>
          <w:trHeight w:val="240" w:hRule="atLeast"/>
        </w:trPr>
        <w:tc>
          <w:tcPr>
            <w:tcW w:w="675" w:type="dxa"/>
            <w:tcBorders/>
            <w:vAlign w:val="center"/>
          </w:tcPr>
          <w:p>
            <w:pPr>
              <w:pStyle w:val="TableContents"/>
              <w:bidi w:val="0"/>
              <w:spacing w:before="0" w:after="283"/>
              <w:jc w:val="left"/>
              <w:rPr>
                <w:sz w:val="4"/>
                <w:szCs w:val="4"/>
              </w:rPr>
            </w:pPr>
            <w:r>
              <w:rPr>
                <w:sz w:val="4"/>
                <w:szCs w:val="4"/>
              </w:rPr>
            </w:r>
          </w:p>
        </w:tc>
        <w:tc>
          <w:tcPr>
            <w:tcW w:w="3407"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pBdr>
                <w:bottom w:val="single" w:sz="2" w:space="1" w:color="000000"/>
              </w:pBdr>
              <w:bidi w:val="0"/>
              <w:spacing w:before="0" w:after="20"/>
              <w:jc w:val="left"/>
              <w:rPr/>
            </w:pPr>
            <w:r>
              <w:rPr/>
              <w:t> </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Name:</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 and Collateral Agent</w:t>
            </w:r>
          </w:p>
        </w:tc>
      </w:tr>
      <w:tr>
        <w:trPr>
          <w:trHeight w:val="240" w:hRule="atLeast"/>
        </w:trPr>
        <w:tc>
          <w:tcPr>
            <w:tcW w:w="675" w:type="dxa"/>
            <w:tcBorders/>
            <w:vAlign w:val="center"/>
          </w:tcPr>
          <w:p>
            <w:pPr>
              <w:pStyle w:val="TableContents"/>
              <w:bidi w:val="0"/>
              <w:spacing w:before="0" w:after="283"/>
              <w:jc w:val="left"/>
              <w:rPr>
                <w:sz w:val="4"/>
                <w:szCs w:val="4"/>
              </w:rPr>
            </w:pPr>
            <w:r>
              <w:rPr>
                <w:sz w:val="4"/>
                <w:szCs w:val="4"/>
              </w:rPr>
            </w:r>
          </w:p>
        </w:tc>
        <w:tc>
          <w:tcPr>
            <w:tcW w:w="3407" w:type="dxa"/>
            <w:gridSpan w:val="2"/>
            <w:tcBorders/>
            <w:vAlign w:val="center"/>
          </w:tcPr>
          <w:p>
            <w:pPr>
              <w:pStyle w:val="TableContents"/>
              <w:bidi w:val="0"/>
              <w:spacing w:before="0" w:after="283"/>
              <w:jc w:val="left"/>
              <w:rPr>
                <w:sz w:val="4"/>
                <w:szCs w:val="4"/>
              </w:rPr>
            </w:pPr>
            <w:r>
              <w:rPr>
                <w:sz w:val="4"/>
                <w:szCs w:val="4"/>
              </w:rPr>
            </w:r>
          </w:p>
        </w:tc>
      </w:tr>
      <w:tr>
        <w:trPr/>
        <w:tc>
          <w:tcPr>
            <w:tcW w:w="675"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pBdr>
                <w:bottom w:val="single" w:sz="2" w:space="1" w:color="000000"/>
              </w:pBdr>
              <w:bidi w:val="0"/>
              <w:spacing w:before="0" w:after="20"/>
              <w:jc w:val="left"/>
              <w:rPr/>
            </w:pPr>
            <w:r>
              <w:rPr/>
              <w:t> </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Name:</w:t>
            </w:r>
          </w:p>
        </w:tc>
      </w:tr>
      <w:tr>
        <w:trPr/>
        <w:tc>
          <w:tcPr>
            <w:tcW w:w="67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4"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G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G-1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H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ABL/NOTE INTERCREDITOR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H-1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b/>
          <w:i/>
          <w:sz w:val="20"/>
        </w:rPr>
        <w:t>Agreement</w:t>
      </w:r>
      <w:r>
        <w:rPr>
          <w:rFonts w:ascii="Times New Roman" w:hAnsi="Times New Roman"/>
          <w:sz w:val="20"/>
        </w:rPr>
        <w:t>”) is made and entered into as of [], 2026, by and among KLX Energy Services Holdings, Inc., a Delaware corporation (“</w:t>
      </w:r>
      <w:r>
        <w:rPr>
          <w:rFonts w:ascii="Times New Roman" w:hAnsi="Times New Roman"/>
          <w:b/>
          <w:i/>
          <w:sz w:val="20"/>
        </w:rPr>
        <w:t>Parent</w:t>
      </w:r>
      <w:r>
        <w:rPr>
          <w:rFonts w:ascii="Times New Roman" w:hAnsi="Times New Roman"/>
          <w:sz w:val="20"/>
        </w:rPr>
        <w:t>”), the stockholders listed on the signature pages hereto (each such party, a “</w:t>
      </w:r>
      <w:r>
        <w:rPr>
          <w:rFonts w:ascii="Times New Roman" w:hAnsi="Times New Roman"/>
          <w:b/>
          <w:i/>
          <w:sz w:val="20"/>
        </w:rPr>
        <w:t>Stockholder</w:t>
      </w:r>
      <w:r>
        <w:rPr>
          <w:rFonts w:ascii="Times New Roman" w:hAnsi="Times New Roman"/>
          <w:sz w:val="20"/>
        </w:rPr>
        <w:t xml:space="preserve">”) and any Permitted Assignee (as defined herein) who becomes a party to this Agreement by entering into a joinder agreement in the form attached hereto as </w:t>
      </w:r>
      <w:r>
        <w:rPr>
          <w:rFonts w:ascii="Times New Roman" w:hAnsi="Times New Roman"/>
          <w:sz w:val="20"/>
          <w:u w:val="single"/>
        </w:rPr>
        <w:t>Exhibit A</w:t>
      </w:r>
      <w:r>
        <w:rPr>
          <w:rFonts w:ascii="Times New Roman" w:hAnsi="Times New Roman"/>
          <w:sz w:val="20"/>
        </w:rPr>
        <w:t>. Parent, the Stockholders and any Permitted Assignee are sometimes referred to herein individually as a “</w:t>
      </w:r>
      <w:r>
        <w:rPr>
          <w:rFonts w:ascii="Times New Roman" w:hAnsi="Times New Roman"/>
          <w:b/>
          <w:i/>
          <w:sz w:val="20"/>
        </w:rPr>
        <w:t>Party</w:t>
      </w:r>
      <w:r>
        <w:rPr>
          <w:rFonts w:ascii="Times New Roman" w:hAnsi="Times New Roman"/>
          <w:sz w:val="20"/>
        </w:rPr>
        <w:t>” and collectively as the “</w:t>
      </w:r>
      <w:r>
        <w:rPr>
          <w:rFonts w:ascii="Times New Roman" w:hAnsi="Times New Roman"/>
          <w:b/>
          <w:i/>
          <w:sz w:val="20"/>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Parent and the Stockholders have entered into that certain Rights Offering Backstop Agreement, dated as August 6, 2026 (as the same may be amended or supplemented, the “</w:t>
      </w:r>
      <w:r>
        <w:rPr>
          <w:rFonts w:ascii="Times New Roman" w:hAnsi="Times New Roman"/>
          <w:b/>
          <w:i/>
          <w:sz w:val="20"/>
        </w:rPr>
        <w:t>Backstop Agreement</w:t>
      </w:r>
      <w:r>
        <w:rPr>
          <w:rFonts w:ascii="Times New Roman" w:hAnsi="Times New Roman"/>
          <w:sz w:val="20"/>
        </w:rPr>
        <w:t>”), pursuant to which the Stockholders agreed to purchase from Parent, upon expiration of the Rights Offering (as defined in the Backstop Agreement), shares of Common Stock not otherwise sold in the Rights Offering through an exchange of such Stockholder’s Senior Secured Floating Rate Cash / PIK Notes due 2030 for such shares of Common Stock (the “</w:t>
      </w:r>
      <w:r>
        <w:rPr>
          <w:rFonts w:ascii="Times New Roman" w:hAnsi="Times New Roman"/>
          <w:b/>
          <w:i/>
          <w:sz w:val="20"/>
        </w:rPr>
        <w:t>Backstop Acquired Shares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Parent and the Stockholders desire to enter into this Agreement, to provide the Stockholders with certain rights relating to the registration of the Backstop Acquired Shares.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mutual and dependent covenants hereinafter set forth,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Defined Terms</w:t>
      </w:r>
      <w:r>
        <w:rPr>
          <w:rFonts w:ascii="Times New Roman" w:hAnsi="Times New Roman"/>
          <w:sz w:val="20"/>
        </w:rPr>
        <w:t xml:space="preserve">. As used in this Agreement, the following terms shall have the following meanings: </w:t>
      </w:r>
    </w:p>
    <w:p>
      <w:pPr>
        <w:pStyle w:val="TextBody"/>
        <w:bidi w:val="0"/>
        <w:spacing w:before="240" w:after="0"/>
        <w:jc w:val="left"/>
        <w:rPr/>
      </w:pPr>
      <w:r>
        <w:rPr/>
        <w:t>“</w:t>
      </w:r>
      <w:r>
        <w:rPr>
          <w:rFonts w:ascii="Times New Roman" w:hAnsi="Times New Roman"/>
          <w:b/>
          <w:i/>
          <w:sz w:val="20"/>
        </w:rPr>
        <w:t>Additional Registration Rights Holder</w:t>
      </w:r>
      <w:r>
        <w:rPr>
          <w:rFonts w:ascii="Times New Roman" w:hAnsi="Times New Roman"/>
          <w:sz w:val="20"/>
        </w:rPr>
        <w:t xml:space="preserve">” means a holder, other than an Existing Holder, of shares of Common Stock with contractual registration rights that are not Registrable Securities.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of a Person means any other Person that directly, or indirectly through one or more intermediaries, controls or is controlled by, or is under common control with, such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w:t>
      </w:r>
      <w:r>
        <w:rPr>
          <w:rFonts w:ascii="Times New Roman" w:hAnsi="Times New Roman"/>
          <w:sz w:val="20"/>
          <w:u w:val="single"/>
        </w:rPr>
        <w:t>provided</w:t>
      </w:r>
      <w:r>
        <w:rPr>
          <w:rFonts w:ascii="Times New Roman" w:hAnsi="Times New Roman"/>
          <w:sz w:val="20"/>
        </w:rPr>
        <w:t xml:space="preserve"> that, for the purposes of this Agreement, no Stockholder shall be deemed an Affiliate of Parent or any of its subsidiaries, and neither Parent nor any of its subsidiaries shall be deemed an Affiliate of a Stockholder.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Backstop Acquired Shares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Backstop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Board</w:t>
      </w:r>
      <w:r>
        <w:rPr>
          <w:rFonts w:ascii="Times New Roman" w:hAnsi="Times New Roman"/>
          <w:sz w:val="20"/>
        </w:rPr>
        <w:t xml:space="preserve">” means the board of directors (or any successor governing body) of Parent.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a Saturday, a Sunday or a legal holiday for commercial banks in New York, New York.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has the meaning given to such term in the Backstop Agreement.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Securities and Exchange Commission or any other federal agency administering the Securities Act and the Exchange Act at the time.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Common Stock</w:t>
      </w:r>
      <w:r>
        <w:rPr>
          <w:rFonts w:ascii="Times New Roman" w:hAnsi="Times New Roman"/>
          <w:sz w:val="20"/>
        </w:rPr>
        <w:t xml:space="preserve">” means the common stock, par value $0.01 per share, of Parent. </w:t>
      </w:r>
    </w:p>
    <w:p>
      <w:pPr>
        <w:pStyle w:val="TextBody"/>
        <w:bidi w:val="0"/>
        <w:spacing w:before="240" w:after="0"/>
        <w:jc w:val="left"/>
        <w:rPr/>
      </w:pPr>
      <w:r>
        <w:rPr/>
        <w:t>“</w:t>
      </w:r>
      <w:r>
        <w:rPr>
          <w:rFonts w:ascii="Times New Roman" w:hAnsi="Times New Roman"/>
          <w:b/>
          <w:i/>
          <w:sz w:val="20"/>
        </w:rPr>
        <w:t>Controlling Person</w:t>
      </w:r>
      <w:r>
        <w:rPr>
          <w:rFonts w:ascii="Times New Roman" w:hAnsi="Times New Roman"/>
          <w:sz w:val="20"/>
        </w:rPr>
        <w:t xml:space="preserve">” means a “controlling person” within the meaning of Section 15 of the Securities Act and Section 20 of the Exchange Act. </w:t>
      </w:r>
    </w:p>
    <w:p>
      <w:pPr>
        <w:pStyle w:val="TextBody"/>
        <w:bidi w:val="0"/>
        <w:spacing w:before="240" w:after="0"/>
        <w:jc w:val="left"/>
        <w:rPr/>
      </w:pPr>
      <w:r>
        <w:rPr/>
        <w:t>“</w:t>
      </w:r>
      <w:r>
        <w:rPr>
          <w:rFonts w:ascii="Times New Roman" w:hAnsi="Times New Roman"/>
          <w:b/>
          <w:i/>
          <w:sz w:val="20"/>
        </w:rPr>
        <w:t>DTC</w:t>
      </w:r>
      <w:r>
        <w:rPr>
          <w:rFonts w:ascii="Times New Roman" w:hAnsi="Times New Roman"/>
          <w:sz w:val="20"/>
        </w:rPr>
        <w:t xml:space="preserve">” has the meaning set forth in </w:t>
      </w:r>
      <w:r>
        <w:rPr>
          <w:rFonts w:ascii="Times New Roman" w:hAnsi="Times New Roman"/>
          <w:sz w:val="20"/>
          <w:u w:val="single"/>
        </w:rPr>
        <w:t>Section 5(r)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EDGAR</w:t>
      </w:r>
      <w:r>
        <w:rPr>
          <w:rFonts w:ascii="Times New Roman" w:hAnsi="Times New Roman"/>
          <w:sz w:val="20"/>
        </w:rPr>
        <w:t xml:space="preserve">” has the meaning set forth in </w:t>
      </w:r>
      <w:r>
        <w:rPr>
          <w:rFonts w:ascii="Times New Roman" w:hAnsi="Times New Roman"/>
          <w:sz w:val="20"/>
          <w:u w:val="single"/>
        </w:rPr>
        <w:t>Section 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Existing Holder</w:t>
      </w:r>
      <w:r>
        <w:rPr>
          <w:rFonts w:ascii="Times New Roman" w:hAnsi="Times New Roman"/>
          <w:sz w:val="20"/>
        </w:rPr>
        <w:t xml:space="preserve">” means a holder of “Registrable Securities” as defined in and as subject to any of the Existing Registration Rights Agreements. </w:t>
      </w:r>
    </w:p>
    <w:p>
      <w:pPr>
        <w:pStyle w:val="TextBody"/>
        <w:bidi w:val="0"/>
        <w:spacing w:before="240" w:after="0"/>
        <w:jc w:val="left"/>
        <w:rPr/>
      </w:pPr>
      <w:r>
        <w:rPr/>
        <w:t>“</w:t>
      </w:r>
      <w:r>
        <w:rPr>
          <w:rFonts w:ascii="Times New Roman" w:hAnsi="Times New Roman"/>
          <w:b/>
          <w:i/>
          <w:sz w:val="20"/>
        </w:rPr>
        <w:t>Existing Registration Rights Agreements</w:t>
      </w:r>
      <w:r>
        <w:rPr>
          <w:rFonts w:ascii="Times New Roman" w:hAnsi="Times New Roman"/>
          <w:sz w:val="20"/>
        </w:rPr>
        <w:t xml:space="preserve">” means (i) that certain Registration Rights Agreement, dated September 14, 2018, between Parent and Amin J. Khoury, (ii) that certain Registration Rights Agreement, dated September 14, 2018, between Parent and Thomas P. McCaffrey, (iii) that certain Registration Rights Agreement, dated May 30, 2020, between Parent and the stockholders named therein, and (iv) that certain Registration Rights and Lock-Up Agreement, dated March 8, 2023, between Parent and Greene’s Holding Corporation. </w:t>
      </w:r>
    </w:p>
    <w:p>
      <w:pPr>
        <w:pStyle w:val="TextBody"/>
        <w:bidi w:val="0"/>
        <w:spacing w:before="240" w:after="0"/>
        <w:jc w:val="left"/>
        <w:rPr/>
      </w:pPr>
      <w:r>
        <w:rPr/>
        <w:t>“</w:t>
      </w:r>
      <w:r>
        <w:rPr>
          <w:rFonts w:ascii="Times New Roman" w:hAnsi="Times New Roman"/>
          <w:b/>
          <w:i/>
          <w:sz w:val="20"/>
        </w:rPr>
        <w:t>Governmental Authority</w:t>
      </w:r>
      <w:r>
        <w:rPr>
          <w:rFonts w:ascii="Times New Roman" w:hAnsi="Times New Roman"/>
          <w:sz w:val="20"/>
        </w:rPr>
        <w:t xml:space="preserve">”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w:t>
      </w:r>
    </w:p>
    <w:p>
      <w:pPr>
        <w:pStyle w:val="TextBody"/>
        <w:bidi w:val="0"/>
        <w:spacing w:before="240" w:after="0"/>
        <w:jc w:val="left"/>
        <w:rPr/>
      </w:pPr>
      <w:r>
        <w:rPr/>
        <w:t>“</w:t>
      </w:r>
      <w:r>
        <w:rPr>
          <w:rFonts w:ascii="Times New Roman" w:hAnsi="Times New Roman"/>
          <w:b/>
          <w:i/>
          <w:sz w:val="20"/>
        </w:rPr>
        <w:t>Inspectors</w:t>
      </w:r>
      <w:r>
        <w:rPr>
          <w:rFonts w:ascii="Times New Roman" w:hAnsi="Times New Roman"/>
          <w:sz w:val="20"/>
        </w:rPr>
        <w:t xml:space="preserve">” has the meaning set forth in </w:t>
      </w:r>
      <w:r>
        <w:rPr>
          <w:rFonts w:ascii="Times New Roman" w:hAnsi="Times New Roman"/>
          <w:sz w:val="20"/>
          <w:u w:val="single"/>
        </w:rPr>
        <w:t>Section 5(h)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Opt-Out Notice</w:t>
      </w:r>
      <w:r>
        <w:rPr>
          <w:rFonts w:ascii="Times New Roman" w:hAnsi="Times New Roman"/>
          <w:sz w:val="20"/>
        </w:rPr>
        <w:t xml:space="preserve">” has the meaning set forth in </w:t>
      </w:r>
      <w:r>
        <w:rPr>
          <w:rFonts w:ascii="Times New Roman" w:hAnsi="Times New Roman"/>
          <w:sz w:val="20"/>
          <w:u w:val="single"/>
        </w:rPr>
        <w:t>Section 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Parent</w:t>
      </w:r>
      <w:r>
        <w:rPr>
          <w:rFonts w:ascii="Times New Roman" w:hAnsi="Times New Roman"/>
          <w:sz w:val="20"/>
        </w:rPr>
        <w:t xml:space="preserve">” has the meaning set forth in the preamble and includes Parent’s successors by merger, acquisition, reorganization or otherwise. </w:t>
      </w:r>
    </w:p>
    <w:p>
      <w:pPr>
        <w:pStyle w:val="TextBody"/>
        <w:bidi w:val="0"/>
        <w:spacing w:before="240" w:after="0"/>
        <w:jc w:val="left"/>
        <w:rPr/>
      </w:pPr>
      <w:r>
        <w:rPr/>
        <w:t>“</w:t>
      </w:r>
      <w:r>
        <w:rPr>
          <w:rFonts w:ascii="Times New Roman" w:hAnsi="Times New Roman"/>
          <w:b/>
          <w:i/>
          <w:sz w:val="20"/>
        </w:rPr>
        <w:t>Party</w:t>
      </w:r>
      <w:r>
        <w:rPr>
          <w:rFonts w:ascii="Times New Roman" w:hAnsi="Times New Roman"/>
          <w:sz w:val="20"/>
        </w:rPr>
        <w:t>” and “</w:t>
      </w:r>
      <w:r>
        <w:rPr>
          <w:rFonts w:ascii="Times New Roman" w:hAnsi="Times New Roman"/>
          <w:b/>
          <w:i/>
          <w:sz w:val="20"/>
        </w:rPr>
        <w:t>Parties</w:t>
      </w:r>
      <w:r>
        <w:rPr>
          <w:rFonts w:ascii="Times New Roman" w:hAnsi="Times New Roman"/>
          <w:sz w:val="20"/>
        </w:rPr>
        <w:t xml:space="preserve">” have the meanings set forth in the preamble. </w:t>
      </w:r>
    </w:p>
    <w:p>
      <w:pPr>
        <w:pStyle w:val="TextBody"/>
        <w:bidi w:val="0"/>
        <w:spacing w:before="240" w:after="0"/>
        <w:jc w:val="left"/>
        <w:rPr/>
      </w:pPr>
      <w:r>
        <w:rPr/>
        <w:t>“</w:t>
      </w:r>
      <w:r>
        <w:rPr>
          <w:rFonts w:ascii="Times New Roman" w:hAnsi="Times New Roman"/>
          <w:b/>
          <w:i/>
          <w:sz w:val="20"/>
        </w:rPr>
        <w:t>Permitted Assignee</w:t>
      </w:r>
      <w:r>
        <w:rPr>
          <w:rFonts w:ascii="Times New Roman" w:hAnsi="Times New Roman"/>
          <w:sz w:val="20"/>
        </w:rPr>
        <w:t xml:space="preserve">” has the meaning set forth in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corporation, partnership, joint venture, limited liability company, Governmental Authority, unincorporated organization, trust, association or other entity. </w:t>
      </w:r>
    </w:p>
    <w:p>
      <w:pPr>
        <w:pStyle w:val="TextBody"/>
        <w:bidi w:val="0"/>
        <w:spacing w:before="240" w:after="0"/>
        <w:jc w:val="left"/>
        <w:rPr/>
      </w:pPr>
      <w:r>
        <w:rPr/>
        <w:t>“</w:t>
      </w:r>
      <w:r>
        <w:rPr>
          <w:rFonts w:ascii="Times New Roman" w:hAnsi="Times New Roman"/>
          <w:b/>
          <w:i/>
          <w:sz w:val="20"/>
        </w:rPr>
        <w:t>Piggyback Sale</w:t>
      </w:r>
      <w:r>
        <w:rPr>
          <w:rFonts w:ascii="Times New Roman" w:hAnsi="Times New Roman"/>
          <w:sz w:val="20"/>
        </w:rPr>
        <w:t xml:space="preserve">” has the meaning set forth in </w:t>
      </w:r>
      <w:r>
        <w:rPr>
          <w:rFonts w:ascii="Times New Roman" w:hAnsi="Times New Roman"/>
          <w:sz w:val="20"/>
          <w:u w:val="single"/>
        </w:rPr>
        <w:t>Section 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Prospectus</w:t>
      </w:r>
      <w:r>
        <w:rPr>
          <w:rFonts w:ascii="Times New Roman" w:hAnsi="Times New Roman"/>
          <w:sz w:val="20"/>
        </w:rPr>
        <w:t xml:space="preserve">” means the prospectus or prospectuses included in any Registration Statement (including, without limitation, a prospectus that includes any information previously omitted from a prospectus filed as part of an effective Registration Statement in reliance on Rule 430A under the Securities Act or any successor rule thereto),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Registrable Securities</w:t>
      </w:r>
      <w:r>
        <w:rPr>
          <w:rFonts w:ascii="Times New Roman" w:hAnsi="Times New Roman"/>
          <w:sz w:val="20"/>
        </w:rPr>
        <w:t xml:space="preserve">” means the Backstop Acquired Shares beneficially owned by a Stockholder or a Permitted Assignee;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such Common Stock shall cease to be Registrable Securities when (i) such Common Stock has been disposed of pursuant to an effective Registration Statement and the recipient thereof may trade such shares of Common Stock without restriction, (ii) such Common Stock is sold under circumstances in which all of the applicable conditions of Rule 144 under the Securities Act (or any successor rule under the Securities Act) are met and all restrictive legends have been removed from such Common Stock, (iii) such Common Stock beneficially owned by a Stockholder or a Permitted Assignee, on an individual basis, represents less than three percent (3%) of the aggregate number of shares of Common Stock then issued and outstanding and such Common Stock becomes eligible for immediate sale pursuant to Rule 144 (or any successor rule under the Securities Act) without time, volume or manner of sale restrictions, (iv) such Common Stock has been disposed of in a private transaction pursuant to which a Stockholder’s rights have not been assigned, or (v) such Common Stock ceases to be outstanding. </w:t>
      </w:r>
    </w:p>
    <w:p>
      <w:pPr>
        <w:pStyle w:val="TextBody"/>
        <w:bidi w:val="0"/>
        <w:spacing w:before="240" w:after="0"/>
        <w:jc w:val="left"/>
        <w:rPr/>
      </w:pPr>
      <w:r>
        <w:rPr/>
        <w:t>“</w:t>
      </w:r>
      <w:r>
        <w:rPr>
          <w:rFonts w:ascii="Times New Roman" w:hAnsi="Times New Roman"/>
          <w:b/>
          <w:i/>
          <w:sz w:val="20"/>
        </w:rPr>
        <w:t>Registration Statement</w:t>
      </w:r>
      <w:r>
        <w:rPr>
          <w:rFonts w:ascii="Times New Roman" w:hAnsi="Times New Roman"/>
          <w:sz w:val="20"/>
        </w:rPr>
        <w:t xml:space="preserve">” means any registration statement of Parent, including a Prospectus, amendments and supplements to such registration statement, including post-effective amendments, all exhibits and all material incorporated by reference in such registration statement. </w:t>
      </w:r>
    </w:p>
    <w:p>
      <w:pPr>
        <w:pStyle w:val="TextBody"/>
        <w:bidi w:val="0"/>
        <w:spacing w:before="240" w:after="0"/>
        <w:jc w:val="left"/>
        <w:rPr/>
      </w:pPr>
      <w:r>
        <w:rPr/>
        <w:t>“</w:t>
      </w:r>
      <w:r>
        <w:rPr>
          <w:rFonts w:ascii="Times New Roman" w:hAnsi="Times New Roman"/>
          <w:b/>
          <w:i/>
          <w:sz w:val="20"/>
        </w:rPr>
        <w:t>Rule</w:t>
      </w:r>
      <w:r>
        <w:rPr>
          <w:rFonts w:ascii="Times New Roman" w:hAnsi="Times New Roman"/>
          <w:sz w:val="20"/>
        </w:rPr>
        <w:t> </w:t>
      </w:r>
      <w:r>
        <w:rPr>
          <w:rFonts w:ascii="Times New Roman" w:hAnsi="Times New Roman"/>
          <w:b/>
          <w:i/>
          <w:sz w:val="20"/>
        </w:rPr>
        <w:t>144</w:t>
      </w:r>
      <w:r>
        <w:rPr>
          <w:rFonts w:ascii="Times New Roman" w:hAnsi="Times New Roman"/>
          <w:sz w:val="20"/>
        </w:rPr>
        <w:t xml:space="preserve">” means Rule 144 under the Securities Act or any successor rule thereto.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b/>
          <w:i/>
          <w:sz w:val="20"/>
        </w:rPr>
        <w:t>Selling Expenses</w:t>
      </w:r>
      <w:r>
        <w:rPr>
          <w:rFonts w:ascii="Times New Roman" w:hAnsi="Times New Roman"/>
          <w:sz w:val="20"/>
        </w:rPr>
        <w:t xml:space="preserve">” means all underwriting discounts, selling commissions and stock transfer taxes applicable to the sale of Registrable Securities, and fees and disbursements of counsel for any holder of Registrable Securities, except for the reasonable fees and disbursements of counsel for the holders of Registrable Securities required to be paid by Parent pursuant to </w:t>
      </w:r>
      <w:r>
        <w:rPr>
          <w:rFonts w:ascii="Times New Roman" w:hAnsi="Times New Roman"/>
          <w:sz w:val="20"/>
          <w:u w:val="single"/>
        </w:rPr>
        <w:t>Section 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Shelf Registration</w:t>
      </w:r>
      <w:r>
        <w:rPr>
          <w:rFonts w:ascii="Times New Roman" w:hAnsi="Times New Roman"/>
          <w:sz w:val="20"/>
        </w:rPr>
        <w:t xml:space="preserve">” has the meaning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Shelf Registration Statement</w:t>
      </w:r>
      <w:r>
        <w:rPr>
          <w:rFonts w:ascii="Times New Roman" w:hAnsi="Times New Roman"/>
          <w:sz w:val="20"/>
        </w:rPr>
        <w:t xml:space="preserve">” has the meaning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Shelf Supplement</w:t>
      </w:r>
      <w:r>
        <w:rPr>
          <w:rFonts w:ascii="Times New Roman" w:hAnsi="Times New Roman"/>
          <w:sz w:val="20"/>
        </w:rPr>
        <w:t xml:space="preserve">” means a supplement to a prospectus for the purpose of effecting an offering pursuant to Rule 415 under the Securities Act or any successor rule thereto. </w:t>
      </w:r>
    </w:p>
    <w:p>
      <w:pPr>
        <w:pStyle w:val="TextBody"/>
        <w:bidi w:val="0"/>
        <w:spacing w:before="240" w:after="0"/>
        <w:jc w:val="left"/>
        <w:rPr/>
      </w:pPr>
      <w:r>
        <w:rPr/>
        <w:t>“</w:t>
      </w:r>
      <w:r>
        <w:rPr>
          <w:rFonts w:ascii="Times New Roman" w:hAnsi="Times New Roman"/>
          <w:b/>
          <w:i/>
          <w:sz w:val="20"/>
        </w:rPr>
        <w:t>Stockholder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Underwritten Offering</w:t>
      </w:r>
      <w:r>
        <w:rPr>
          <w:rFonts w:ascii="Times New Roman" w:hAnsi="Times New Roman"/>
          <w:sz w:val="20"/>
        </w:rPr>
        <w:t xml:space="preserve">” means a sale of Common Stock of Parent to an underwriter or underwriters on a firm commitment basis for reoffering to the public. </w:t>
      </w:r>
    </w:p>
    <w:p>
      <w:pPr>
        <w:pStyle w:val="TextBody"/>
        <w:bidi w:val="0"/>
        <w:spacing w:before="240" w:after="0"/>
        <w:jc w:val="left"/>
        <w:rPr/>
      </w:pPr>
      <w:r>
        <w:rPr/>
        <w:t>“</w:t>
      </w:r>
      <w:r>
        <w:rPr>
          <w:rFonts w:ascii="Times New Roman" w:hAnsi="Times New Roman"/>
          <w:b/>
          <w:i/>
          <w:sz w:val="20"/>
        </w:rPr>
        <w:t>Underwritten Shelf Takedown</w:t>
      </w:r>
      <w:r>
        <w:rPr>
          <w:rFonts w:ascii="Times New Roman" w:hAnsi="Times New Roman"/>
          <w:sz w:val="20"/>
        </w:rPr>
        <w:t xml:space="preserve">” has the meaning set forth in </w:t>
      </w:r>
      <w:r>
        <w:rPr>
          <w:rFonts w:ascii="Times New Roman" w:hAnsi="Times New Roman"/>
          <w:sz w:val="20"/>
          <w:u w:val="single"/>
        </w:rPr>
        <w:t>Section 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Underwritten Shelf Takedown Notice</w:t>
      </w:r>
      <w:r>
        <w:rPr>
          <w:rFonts w:ascii="Times New Roman" w:hAnsi="Times New Roman"/>
          <w:sz w:val="20"/>
        </w:rPr>
        <w:t xml:space="preserve">” has the meaning set forth in </w:t>
      </w:r>
      <w:r>
        <w:rPr>
          <w:rFonts w:ascii="Times New Roman" w:hAnsi="Times New Roman"/>
          <w:sz w:val="20"/>
          <w:u w:val="single"/>
        </w:rPr>
        <w:t>Section 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Shelf Registration; Shelf Takedowns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Following the Closing Date, a holder of Registrable Securities shall have the right to request the registration under the Securities Act of all or any portion of their Registrable Securities pursuant to a Registration Statement on Form S-3 or the then appropriate form for an offering to be made on a delayed or continuous basis pursuant to Rule 415 under the Securities Act or any successor rule thereto (the “</w:t>
      </w:r>
      <w:r>
        <w:rPr>
          <w:rFonts w:ascii="Times New Roman" w:hAnsi="Times New Roman"/>
          <w:b/>
          <w:i/>
          <w:sz w:val="20"/>
        </w:rPr>
        <w:t>Shelf Registration Statement</w:t>
      </w:r>
      <w:r>
        <w:rPr>
          <w:rFonts w:ascii="Times New Roman" w:hAnsi="Times New Roman"/>
          <w:sz w:val="20"/>
        </w:rPr>
        <w:t xml:space="preserve">”) for an offering on a delayed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continuous basis pursuant to Rule 415 under the Securities Act or any successor rule thereto (the “</w:t>
      </w:r>
      <w:r>
        <w:rPr>
          <w:rFonts w:ascii="Times New Roman" w:hAnsi="Times New Roman"/>
          <w:b/>
          <w:i/>
          <w:sz w:val="20"/>
        </w:rPr>
        <w:t>Shelf Registration</w:t>
      </w:r>
      <w:r>
        <w:rPr>
          <w:rFonts w:ascii="Times New Roman" w:hAnsi="Times New Roman"/>
          <w:sz w:val="20"/>
        </w:rPr>
        <w:t xml:space="preserve">”). Such request for the Shelf Registration shall specify the number of Registrable Securities requested to be included in the Shelf Registration. Upon receipt of such request, Parent shall promptly (but in no event later than five (5) Business Days following receipt thereof) deliver notice of such request to all other holders of Registrable Securities, if any, who shall then have five (5) Business Days from the date such notice is given to notify Parent in writing of their desire to be included in such registration. Parent shall prepare and file with the Commission a Shelf Registration Statement covering all of the Registrable Securities that the holders thereof have requested to be included in such Shelf Registration within 45 days after the date on which the initial request is given and shall use commercially reasonable efforts to cause such Shelf Registration Statement to be declared effective by the Commission as soon as practicable thereafter. The Shelf Registration Statement shall provide for the resale pursuant to any method or combination of methods legally available to, and requested by, the holders of Registrable Securities. After the filing of the Shelf Registration Statement, and until all Registrable Securities covered by such Shelf Registration Statement have ceased to be Registrable Securities, Parent shall use its commercially reasonable efforts to ensure that such Shelf Registration Statement remains continuously effective. </w:t>
      </w:r>
    </w:p>
    <w:p>
      <w:pPr>
        <w:pStyle w:val="TextBody"/>
        <w:bidi w:val="0"/>
        <w:spacing w:before="120" w:after="0"/>
        <w:jc w:val="left"/>
        <w:rPr>
          <w:rFonts w:ascii="Times New Roman" w:hAnsi="Times New Roman"/>
          <w:sz w:val="20"/>
        </w:rPr>
      </w:pPr>
      <w:r>
        <w:rPr>
          <w:rFonts w:ascii="Times New Roman" w:hAnsi="Times New Roman"/>
          <w:sz w:val="20"/>
        </w:rPr>
        <w:t>(b) At any time that the Shelf Registration Statement is effective, if a holder of Registrable Securities covered by such Shelf Registration Statement delivers a notice to Parent (an “</w:t>
      </w:r>
      <w:r>
        <w:rPr>
          <w:rFonts w:ascii="Times New Roman" w:hAnsi="Times New Roman"/>
          <w:b/>
          <w:i/>
          <w:sz w:val="20"/>
        </w:rPr>
        <w:t>Underwritten Shelf Takedown Notice</w:t>
      </w:r>
      <w:r>
        <w:rPr>
          <w:rFonts w:ascii="Times New Roman" w:hAnsi="Times New Roman"/>
          <w:sz w:val="20"/>
        </w:rPr>
        <w:t>”) stating that such holder intends to effect an Underwritten Offering of all or part of its Registrable Securities included in such Shelf Registration Statement (an “</w:t>
      </w:r>
      <w:r>
        <w:rPr>
          <w:rFonts w:ascii="Times New Roman" w:hAnsi="Times New Roman"/>
          <w:b/>
          <w:i/>
          <w:sz w:val="20"/>
        </w:rPr>
        <w:t>Underwritten Shelf Takedown</w:t>
      </w:r>
      <w:r>
        <w:rPr>
          <w:rFonts w:ascii="Times New Roman" w:hAnsi="Times New Roman"/>
          <w:sz w:val="20"/>
        </w:rPr>
        <w:t xml:space="preserve">”) and Parent is eligible to use such Shelf Registration Statement for such Underwritten Shelf Takedown, then Parent shall take all actions reasonably required, including amending or supplementing such Shelf Registration Statement, to enable such Registrable Securities to be offered and sold as contemplated by such Underwritten Shelf Takedown Notice. Each Underwritten Shelf Takedown Notice shall specify the number of Registrable Securities to be offered and sold under the Underwritten Shelf Takedown. Upon receipt of an Underwritten Shelf Takedown Notice, Parent shall promptly (but in no event later than two (2) Business Days following receipt thereof) deliver notice of such Underwritten Shelf Takedown Notice to all other holders of Registrable Securities, if any, who shall then have three (3) Business Days (or one (1) Business Day in connection with any overnight or bought Underwritten Offering) from the date such notice is given to notify Parent in writing of their desire to be included in such Underwritten Shelf Takedown. Parent shall prepare and file with the Commission a Shelf Supplement as soon as practicable after the date on which it received the Underwritten Shelf Takedown Notice and, if such Shelf Supplement is an amendment to such Shelf Registration Statement, shall use its commercially reasonable efforts to cause such Shelf Supplement to be declared effective by the Commission as soon as practicable thereafter. The priority for inclusion of Registrable Securities in an Underwritten Shelf Takedown will be determined as specified in </w:t>
      </w:r>
      <w:r>
        <w:rPr>
          <w:rFonts w:ascii="Times New Roman" w:hAnsi="Times New Roman"/>
          <w:sz w:val="20"/>
          <w:u w:val="single"/>
        </w:rPr>
        <w:t>Section 2(f)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Parent shall not be obligated to effect any Underwritten Shelf Takedown within 90 days after the effective date of a previous Underwritten Shelf Takedown in which holders of Registrable Securities were permitted to register the offer and sale under the Securities Act, and actually sold, at least 50% of the Registrable Securities requested to be included therein. Additionally, Parent shall not be obligated to effect any Underwritten Shelf Takedown (i) with respect to any offering that would reasonably be expected to result in net proceeds of less than $30 million to the participating holders of Registrable Securities or (ii) more than once in any 6-month period pursuant to this </w:t>
      </w:r>
      <w:r>
        <w:rPr>
          <w:rFonts w:ascii="Times New Roman" w:hAnsi="Times New Roman"/>
          <w:sz w:val="20"/>
          <w:u w:val="single"/>
        </w:rPr>
        <w:t>Section 2(c)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Parent may postpone or suspend for up to 90 days the effectiveness or use of the Shelf Registration Statement, the launch of any Underwritten Shelf Takedown or the filing of any Shelf Supplement if the Board determines in its reasonable good faith judgment that such use or filing would: (i) materially interfere with a significant acquisition, corporate organization, financing, securities offering or other similar transaction involving Parent; (ii) require premature disclosure of material information that Parent has a </w:t>
      </w:r>
      <w:r>
        <w:rPr>
          <w:rFonts w:ascii="Times New Roman" w:hAnsi="Times New Roman"/>
          <w:i/>
          <w:sz w:val="20"/>
        </w:rPr>
        <w:t xml:space="preserve">bona fide </w:t>
      </w:r>
      <w:r>
        <w:rPr>
          <w:rFonts w:ascii="Times New Roman" w:hAnsi="Times New Roman"/>
          <w:sz w:val="20"/>
        </w:rPr>
        <w:t xml:space="preserve">business purpose for preserving as confidential; or (iii) render Parent unable to materially comply with requirements under the Securities Act or Exchange Act; </w:t>
      </w:r>
      <w:r>
        <w:rPr>
          <w:rFonts w:ascii="Times New Roman" w:hAnsi="Times New Roman"/>
          <w:sz w:val="20"/>
          <w:u w:val="single"/>
        </w:rPr>
        <w:t>provided</w:t>
      </w:r>
      <w:r>
        <w:rPr>
          <w:rFonts w:ascii="Times New Roman" w:hAnsi="Times New Roman"/>
          <w:sz w:val="20"/>
        </w:rPr>
        <w:t xml:space="preserve">, that in such event the holders of a majority of the Registrable Securities initiating such Underwritten Shelf Takedown shall be entitled to withdraw such request and, if such request for an Underwritten Shelf Takedown is withdrawn, such Underwritten Shelf Takedown shall not count as one of the permitted Underwritten Shelf Takedowns hereunder and Parent shall pay all registration expenses in connection with such registration. Parent may delay or suspend under this </w:t>
      </w:r>
      <w:r>
        <w:rPr>
          <w:rFonts w:ascii="Times New Roman" w:hAnsi="Times New Roman"/>
          <w:sz w:val="20"/>
          <w:u w:val="single"/>
        </w:rPr>
        <w:t>Section 2(d)</w:t>
      </w:r>
      <w:r>
        <w:rPr>
          <w:rFonts w:ascii="Times New Roman" w:hAnsi="Times New Roman"/>
          <w:sz w:val="20"/>
        </w:rPr>
        <w:t xml:space="preserve"> for not more than a total of 90 days during any 180-day period or 120 days during any 365-day period. </w:t>
      </w:r>
    </w:p>
    <w:p>
      <w:pPr>
        <w:pStyle w:val="TextBody"/>
        <w:bidi w:val="0"/>
        <w:spacing w:before="120" w:after="0"/>
        <w:jc w:val="left"/>
        <w:rPr>
          <w:rFonts w:ascii="Times New Roman" w:hAnsi="Times New Roman"/>
          <w:sz w:val="20"/>
        </w:rPr>
      </w:pPr>
      <w:r>
        <w:rPr>
          <w:rFonts w:ascii="Times New Roman" w:hAnsi="Times New Roman"/>
          <w:sz w:val="20"/>
        </w:rPr>
        <w:t xml:space="preserve">(e) Unless otherwise agreed by Parent and the holders of a majority of the Registrable Securities proposed to be included in any Underwritten Shelf Takedown, Parent, on the one hand, and the holders of the Registrable Securities (pursuant to the consent of the holders of a majority of the Registrable Securities proposed to be included in such Underwritten Shelf Takedown), on the other, shall each select an investment banking firm to act as one of the two managing underwriters in connection with such offering; </w:t>
      </w:r>
      <w:r>
        <w:rPr>
          <w:rFonts w:ascii="Times New Roman" w:hAnsi="Times New Roman"/>
          <w:sz w:val="20"/>
          <w:u w:val="single"/>
        </w:rPr>
        <w:t>provided</w:t>
      </w:r>
      <w:r>
        <w:rPr>
          <w:rFonts w:ascii="Times New Roman" w:hAnsi="Times New Roman"/>
          <w:sz w:val="20"/>
        </w:rPr>
        <w:t xml:space="preserve">, that such selection shall be subject to the consent of the other, which consent shall not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(f) Parent may include in any Underwritten Shelf Takedown any securities that are not Registrable Securities on behalf of Parent, on behalf of an Existing Holder or on behalf of an Additional Registration Rights Holder (so long as such securities are registered on a Shelf Registration Statement);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the managing underwriter of the requested Underwritten Shelf Takedown advises Parent and the holders of Registrable Securities in writing that in its reasonable and good faith opinion the number of shares of Common Stock proposed to be included in the Underwritten Shelf Takedown, including all Registrable Securities and all other shares of Common Stock proposed to be included in such Underwritten Offering, exceeds the number of shares of Common Stock that can be sold in such Underwritten Offering and/or the number of shares of Common Stock proposed to be included in such Underwritten Shelf Takedown would adversely affect the price per share of the Common Stock proposed to be sold in such Underwritten Offering, Parent shall include in such Underwritten Shelf Takedown (i) </w:t>
      </w:r>
      <w:r>
        <w:rPr>
          <w:rFonts w:ascii="Times New Roman" w:hAnsi="Times New Roman"/>
          <w:i/>
          <w:sz w:val="20"/>
        </w:rPr>
        <w:t>first</w:t>
      </w:r>
      <w:r>
        <w:rPr>
          <w:rFonts w:ascii="Times New Roman" w:hAnsi="Times New Roman"/>
          <w:sz w:val="20"/>
        </w:rPr>
        <w:t>, the shares of Common Stock that the holders of Registrable Securities requesting such registration or takedown and that the Existing Holders propose to sell, in accordance with the provisions of the Existing Registration Rights Agreements, and (ii) </w:t>
      </w:r>
      <w:r>
        <w:rPr>
          <w:rFonts w:ascii="Times New Roman" w:hAnsi="Times New Roman"/>
          <w:i/>
          <w:sz w:val="20"/>
        </w:rPr>
        <w:t>second</w:t>
      </w:r>
      <w:r>
        <w:rPr>
          <w:rFonts w:ascii="Times New Roman" w:hAnsi="Times New Roman"/>
          <w:sz w:val="20"/>
        </w:rPr>
        <w:t xml:space="preserve">, the shares of Common Stock proposed to be included therein by any remaining holders of Registrable Securities and any other Persons (including shares of Common Stock to be sold for the account of Parent or any Additional Registration Rights Holders) allocated among such Persons in such manner as they may agree. If the managing underwriter determines that less than all of the Registrable Securities proposed to be sold can be included in such offering, then the Registrable Securities that are included in such offering shall be allocated pro rata among the respective holders thereof on the basis of the number of shares of Common Stock owned by each such holder or in such manner as they may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Piggyback Sale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Whenever Parent proposes the offer and sale of any Common Stock to the public in an Underwritten Offering registered under the Securities Act (other than a registration (i) pursuant to a Registration Statement on Form S-8 (or other registration solely relating to an offering or sale to employees or directors of Parent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Parent (a “</w:t>
      </w:r>
      <w:r>
        <w:rPr>
          <w:rFonts w:ascii="Times New Roman" w:hAnsi="Times New Roman"/>
          <w:b/>
          <w:i/>
          <w:sz w:val="20"/>
        </w:rPr>
        <w:t>Piggyback Sale</w:t>
      </w:r>
      <w:r>
        <w:rPr>
          <w:rFonts w:ascii="Times New Roman" w:hAnsi="Times New Roman"/>
          <w:sz w:val="20"/>
        </w:rPr>
        <w:t xml:space="preserve">”), and the form of Registration Statement or Prospectus to be used may be used for the registration or offer or sale of Registrable Securities, Parent shall give prompt written notice (in any event no later than five (5) Business Days prior to the initiation of such offer and sale, or two (2) Business Days in connection with any overnight or bought Underwritten Offering) to the holders of Registrable Securities of its intention to effect such an offer and sale and, subject to </w:t>
      </w:r>
      <w:r>
        <w:rPr>
          <w:rFonts w:ascii="Times New Roman" w:hAnsi="Times New Roman"/>
          <w:sz w:val="20"/>
          <w:u w:val="single"/>
        </w:rPr>
        <w:t>Section 3(b)</w:t>
      </w:r>
      <w:r>
        <w:rPr>
          <w:rFonts w:ascii="Times New Roman" w:hAnsi="Times New Roman"/>
          <w:sz w:val="20"/>
        </w:rPr>
        <w:t xml:space="preserve"> through </w:t>
      </w:r>
      <w:r>
        <w:rPr>
          <w:rFonts w:ascii="Times New Roman" w:hAnsi="Times New Roman"/>
          <w:sz w:val="20"/>
          <w:u w:val="single"/>
        </w:rPr>
        <w:t>3(e)</w:t>
      </w:r>
      <w:r>
        <w:rPr>
          <w:rFonts w:ascii="Times New Roman" w:hAnsi="Times New Roman"/>
          <w:sz w:val="20"/>
        </w:rPr>
        <w:t>, shall include in such an offer and sale all Registrable Securities with respect to which Parent has received written requests for inclusion from the holders of Registrable Securities within three (3) Business Days (or one (1) Business Day in connection with any overnight or bought Underwritten Offering) after Parent’s notice has been given to each such holder. Notwithstanding the foregoing, any holder of Registrable Securities may deliver written notice (an “</w:t>
      </w:r>
      <w:r>
        <w:rPr>
          <w:rFonts w:ascii="Times New Roman" w:hAnsi="Times New Roman"/>
          <w:b/>
          <w:i/>
          <w:sz w:val="20"/>
        </w:rPr>
        <w:t>Opt-Out Notice</w:t>
      </w:r>
      <w:r>
        <w:rPr>
          <w:rFonts w:ascii="Times New Roman" w:hAnsi="Times New Roman"/>
          <w:sz w:val="20"/>
        </w:rPr>
        <w:t xml:space="preserve">”) to Parent requesting that such holder of Registrable Securities not receive from Parent any such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holder of Registrable Securities may later revoke any such Opt-Out Notice in writing. Following receipt of an Opt-Out Notice from a holder of Registrable Securities (unless subsequently revoked), Parent shall not deliver any notice to such holder of Registrable Securities pursuant to this </w:t>
      </w:r>
      <w:r>
        <w:rPr>
          <w:rFonts w:ascii="Times New Roman" w:hAnsi="Times New Roman"/>
          <w:sz w:val="20"/>
          <w:u w:val="single"/>
        </w:rPr>
        <w:t>Section 3(a)</w:t>
      </w:r>
      <w:r>
        <w:rPr>
          <w:rFonts w:ascii="Times New Roman" w:hAnsi="Times New Roman"/>
          <w:sz w:val="20"/>
        </w:rPr>
        <w:t xml:space="preserve">. Parent may postpone or withdraw such offering or sale at any time in its sole discretion. </w:t>
      </w:r>
    </w:p>
    <w:p>
      <w:pPr>
        <w:pStyle w:val="TextBody"/>
        <w:bidi w:val="0"/>
        <w:spacing w:before="120" w:after="0"/>
        <w:jc w:val="left"/>
        <w:rPr>
          <w:rFonts w:ascii="Times New Roman" w:hAnsi="Times New Roman"/>
          <w:sz w:val="20"/>
        </w:rPr>
      </w:pPr>
      <w:r>
        <w:rPr>
          <w:rFonts w:ascii="Times New Roman" w:hAnsi="Times New Roman"/>
          <w:sz w:val="20"/>
        </w:rPr>
        <w:t>(b) If a Piggyback Sale is initiated as a primary Underwritten Offering on behalf of Parent and the managing underwriter advises Parent and the holders of Registrable Securities (if any holders of Registrable Securities have elected to include Registrable Securities in such Piggyback Sale)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 such offering and/or that the number of shares of Common Stock proposed to be included in any such registration or takedown would adversely affect the price per share of the shares of Common Stock to be sold in such offering, Parent shall include in such registration or takedown (i) </w:t>
      </w:r>
      <w:r>
        <w:rPr>
          <w:rFonts w:ascii="Times New Roman" w:hAnsi="Times New Roman"/>
          <w:i/>
          <w:sz w:val="20"/>
        </w:rPr>
        <w:t>first</w:t>
      </w:r>
      <w:r>
        <w:rPr>
          <w:rFonts w:ascii="Times New Roman" w:hAnsi="Times New Roman"/>
          <w:sz w:val="20"/>
        </w:rPr>
        <w:t>, the shares of Common Stock that Parent proposes to sell; (ii) </w:t>
      </w:r>
      <w:r>
        <w:rPr>
          <w:rFonts w:ascii="Times New Roman" w:hAnsi="Times New Roman"/>
          <w:i/>
          <w:sz w:val="20"/>
        </w:rPr>
        <w:t>second</w:t>
      </w:r>
      <w:r>
        <w:rPr>
          <w:rFonts w:ascii="Times New Roman" w:hAnsi="Times New Roman"/>
          <w:sz w:val="20"/>
        </w:rPr>
        <w:t>, the shares of Common Stock that any Existing Holder proposes to sell, in accordance with the provisions of the Existing Registration Rights Agreements; and (iii) </w:t>
      </w:r>
      <w:r>
        <w:rPr>
          <w:rFonts w:ascii="Times New Roman" w:hAnsi="Times New Roman"/>
          <w:i/>
          <w:sz w:val="20"/>
        </w:rPr>
        <w:t>third</w:t>
      </w:r>
      <w:r>
        <w:rPr>
          <w:rFonts w:ascii="Times New Roman" w:hAnsi="Times New Roman"/>
          <w:sz w:val="20"/>
        </w:rPr>
        <w:t xml:space="preserve">, the shares of Common Stock requested to be included therein by holders of Registrable Securities and any Additional Registration Rights Holders with registration rights entitling them to participate in such Underwritten Offering, allocated among such holders pro rata based on the number of shares of Common Stock held by each applicable holder or in such manner as they may agree. </w:t>
      </w:r>
    </w:p>
    <w:p>
      <w:pPr>
        <w:pStyle w:val="TextBody"/>
        <w:bidi w:val="0"/>
        <w:spacing w:before="120" w:after="0"/>
        <w:jc w:val="left"/>
        <w:rPr>
          <w:rFonts w:ascii="Times New Roman" w:hAnsi="Times New Roman"/>
          <w:sz w:val="20"/>
        </w:rPr>
      </w:pPr>
      <w:r>
        <w:rPr>
          <w:rFonts w:ascii="Times New Roman" w:hAnsi="Times New Roman"/>
          <w:sz w:val="20"/>
        </w:rPr>
        <w:t>(c) If a Piggyback Sale is initiated as an Underwritten Offering on behalf of any Existing Holder, and the managing underwriter advises Parent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 such offering and/or that the number of shares of Common Stock proposed to be included in any such registration or takedown would adversely affect the price per share of the Common Stock to be sold in such offering, Parent shall include in such registration or takedown (i) </w:t>
      </w:r>
      <w:r>
        <w:rPr>
          <w:rFonts w:ascii="Times New Roman" w:hAnsi="Times New Roman"/>
          <w:i/>
          <w:sz w:val="20"/>
        </w:rPr>
        <w:t>first</w:t>
      </w:r>
      <w:r>
        <w:rPr>
          <w:rFonts w:ascii="Times New Roman" w:hAnsi="Times New Roman"/>
          <w:sz w:val="20"/>
        </w:rPr>
        <w:t>, the shares of Common Stock requested to be included therein by the Existing Holders, in accordance with the provisions of the Existing Registration Rights Agreements; and (ii) </w:t>
      </w:r>
      <w:r>
        <w:rPr>
          <w:rFonts w:ascii="Times New Roman" w:hAnsi="Times New Roman"/>
          <w:i/>
          <w:sz w:val="20"/>
        </w:rPr>
        <w:t>second</w:t>
      </w:r>
      <w:r>
        <w:rPr>
          <w:rFonts w:ascii="Times New Roman" w:hAnsi="Times New Roman"/>
          <w:sz w:val="20"/>
        </w:rPr>
        <w:t xml:space="preserve">, the shares of Common Stock requested to be included therein by the holders of Registrable Securities and any Additional Registration Rights Holders with registration rights entitling them to participate in such Underwritten Offering, allocated among such holders pro rata on the basis of the number of shares of Common Stock held by each applicable holder or in such manner as they may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If a Piggyback Sale is initiated as an Underwritten Offering on behalf of any Additional Registration Rights Holder, and the managing underwriter advises Parent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 such offering and/or that the number of shares of Common Stock proposed to be included in any such registration or takedown would adversely affect the price per share of the Common Stock to be sold in such offering, Parent shall include in such registration or takedown (i) </w:t>
      </w:r>
      <w:r>
        <w:rPr>
          <w:rFonts w:ascii="Times New Roman" w:hAnsi="Times New Roman"/>
          <w:i/>
          <w:sz w:val="20"/>
        </w:rPr>
        <w:t>first</w:t>
      </w:r>
      <w:r>
        <w:rPr>
          <w:rFonts w:ascii="Times New Roman" w:hAnsi="Times New Roman"/>
          <w:sz w:val="20"/>
        </w:rPr>
        <w:t>, the shares of Common Stock requested to be included therein by the Additional Registration Rights Holders requesting such registration or takedown and the Existing Holders, in accordance with the provisions of the Existing Registration Rights Agreements; and (ii) </w:t>
      </w:r>
      <w:r>
        <w:rPr>
          <w:rFonts w:ascii="Times New Roman" w:hAnsi="Times New Roman"/>
          <w:i/>
          <w:sz w:val="20"/>
        </w:rPr>
        <w:t>second</w:t>
      </w:r>
      <w:r>
        <w:rPr>
          <w:rFonts w:ascii="Times New Roman" w:hAnsi="Times New Roman"/>
          <w:sz w:val="20"/>
        </w:rPr>
        <w:t xml:space="preserve">, the shares of Common Stock requested to be included therein by the holders of Registrable Securities and by any Additional Registration Rights Holders with registration rights entitling them to participate in such Underwritten Offering, allocated among such holders pro rata on the basis of the number of shares of Common Stock held by each applicable holder or in such manner as they may agree. </w:t>
      </w:r>
    </w:p>
    <w:p>
      <w:pPr>
        <w:pStyle w:val="TextBody"/>
        <w:bidi w:val="0"/>
        <w:spacing w:before="120" w:after="0"/>
        <w:jc w:val="left"/>
        <w:rPr>
          <w:rFonts w:ascii="Times New Roman" w:hAnsi="Times New Roman"/>
          <w:sz w:val="20"/>
        </w:rPr>
      </w:pPr>
      <w:r>
        <w:rPr>
          <w:rFonts w:ascii="Times New Roman" w:hAnsi="Times New Roman"/>
          <w:sz w:val="20"/>
        </w:rPr>
        <w:t xml:space="preserve">(e) If any Piggyback Sale is initiated as a primary Underwritten Offering on behalf of Parent, Parent shall select the investment banking firm or firms to act as the managing underwriter or underwriters in connection with such offering.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Holdbacks; Other Restrictions and Acknowledgements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connection with any Underwritten Offering, if requested by the managing underwriter, each Stockholder and any Permitted Assignee participating in such Underwritten Offering agrees to enter into customary agreements restricting the public sale or distribution of equity securities of Parent (including sales pursuant to Rule 144 under the Securities Act) during the period commencing on the launch of such offering but no earlier than 10 days prior to the “pricing” of such Underwritten Offering and continuing for not more than 90 days after the date of the “final” Prospectus (or “final” prospectus supplement if the Underwritten Offering is made pursuant to a Shelf Registration Statement), pursuant to which such Underwritten Offering shall be made, or such lesser period as is required by the lead managing underwriter(s); </w:t>
      </w:r>
      <w:r>
        <w:rPr>
          <w:rFonts w:ascii="Times New Roman" w:hAnsi="Times New Roman"/>
          <w:sz w:val="20"/>
          <w:u w:val="single"/>
        </w:rPr>
        <w:t>provided that</w:t>
      </w:r>
      <w:r>
        <w:rPr>
          <w:rFonts w:ascii="Times New Roman" w:hAnsi="Times New Roman"/>
          <w:sz w:val="20"/>
        </w:rPr>
        <w:t xml:space="preserve">, notwithstanding the foregoing, (i) the duration of the foregoing restrictions shall be no longer than the duration of the shortest restriction imposed by the underwriters on any Stockholder or any Permitted Assignee or the officers or directors on whom a restriction is imposed and (ii) that the restrictions set forth in this </w:t>
      </w:r>
      <w:r>
        <w:rPr>
          <w:rFonts w:ascii="Times New Roman" w:hAnsi="Times New Roman"/>
          <w:sz w:val="20"/>
          <w:u w:val="single"/>
        </w:rPr>
        <w:t>Section 4(a)</w:t>
      </w:r>
      <w:r>
        <w:rPr>
          <w:rFonts w:ascii="Times New Roman" w:hAnsi="Times New Roman"/>
          <w:sz w:val="20"/>
        </w:rPr>
        <w:t xml:space="preserve"> shall not apply to any Registrable Securities that are included in such Underwritten Offering by such holder. </w:t>
      </w:r>
    </w:p>
    <w:p>
      <w:pPr>
        <w:pStyle w:val="TextBody"/>
        <w:bidi w:val="0"/>
        <w:spacing w:before="120" w:after="0"/>
        <w:jc w:val="left"/>
        <w:rPr>
          <w:rFonts w:ascii="Times New Roman" w:hAnsi="Times New Roman"/>
          <w:sz w:val="20"/>
        </w:rPr>
      </w:pPr>
      <w:r>
        <w:rPr>
          <w:rFonts w:ascii="Times New Roman" w:hAnsi="Times New Roman"/>
          <w:sz w:val="20"/>
        </w:rPr>
        <w:t xml:space="preserve">(b) In connection with any Underwritten Shelf Takedown, Parent, if requested by the managing underwriter, will not effect any public sale or distribution of any common equity (or securities convertible into or exchangeable or exercisable for common equity) (other than a registration statement on Form S-4, Form S-8 or any successor forms thereto or any other form for the registration of securities issued or to be issued in connection with a merger, acquisition or employee benefit plan) for its own account within 90 days after the effective date of such Underwritten Offering except as may otherwise be agreed between Parent and the lead managing underwriter(s) of such Underwritten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Parent covenants and agrees during the term of this Agreement, without the prior written consent of a majority of the then-outstanding Registrable Securities, not to enter into any other registration rights agreement that contains registration rights in favor of a third party that would have priority to the rights of holders of Registrable Securities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Registration Procedures</w:t>
      </w:r>
      <w:r>
        <w:rPr>
          <w:rFonts w:ascii="Times New Roman" w:hAnsi="Times New Roman"/>
          <w:sz w:val="20"/>
        </w:rPr>
        <w:t xml:space="preserve">. If and whenever the holders of Registrable Securities request that the offer and sale of any Registrable Securities be registered under the Securities Act or any Registrable Securities be distributed in a Shelf Registration pursuant to the provisions of this Agreement, Parent shall use its commercially reasonable efforts to effect the offer and sale of such Registrable Securities under the Securities Act in accordance with the intended method of disposition thereof, and pursuant thereto Parent shall as soon as reasonably practicable and as applicable: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w:t>
      </w:r>
      <w:r>
        <w:rPr>
          <w:rFonts w:ascii="Times New Roman" w:hAnsi="Times New Roman"/>
          <w:sz w:val="20"/>
        </w:rPr>
        <w:t xml:space="preserve">, prepare and file with the Commission a Registration Statement covering such Registrable Securities and use its commercially reasonable efforts to cause such Registration Statement to be declared effective; </w:t>
      </w:r>
    </w:p>
    <w:p>
      <w:pPr>
        <w:pStyle w:val="TextBody"/>
        <w:bidi w:val="0"/>
        <w:spacing w:before="120" w:after="0"/>
        <w:jc w:val="left"/>
        <w:rPr>
          <w:rFonts w:ascii="Times New Roman" w:hAnsi="Times New Roman"/>
          <w:sz w:val="20"/>
        </w:rPr>
      </w:pPr>
      <w:r>
        <w:rPr>
          <w:rFonts w:ascii="Times New Roman" w:hAnsi="Times New Roman"/>
          <w:sz w:val="20"/>
        </w:rPr>
        <w:t xml:space="preserve">(b) prepare and file with the Commission such amendments, post-effective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subject thereto until the date on which all the Registrable Securities subject thereto have been sold pursuant to such Registration Statement, subject to </w:t>
      </w:r>
      <w:r>
        <w:rPr>
          <w:rFonts w:ascii="Times New Roman" w:hAnsi="Times New Roman"/>
          <w:sz w:val="20"/>
          <w:u w:val="single"/>
        </w:rPr>
        <w:t>Section 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within a reasonable time (in any case not less than three (3) Business Days) before filing such Registration Statement, Prospectus or amendments or supplements thereto with the Commission, furnish to one counsel selected by the holders of a majority of the Registrable Securities included in such Registration Statement, Prospectus or amendments or supplements thereto copies of such documents proposed to be filed, which documents shall be subject to the review, comment and approval of such counsel; </w:t>
      </w:r>
    </w:p>
    <w:p>
      <w:pPr>
        <w:pStyle w:val="TextBody"/>
        <w:bidi w:val="0"/>
        <w:spacing w:before="120" w:after="0"/>
        <w:jc w:val="left"/>
        <w:rPr>
          <w:rFonts w:ascii="Times New Roman" w:hAnsi="Times New Roman"/>
          <w:sz w:val="20"/>
        </w:rPr>
      </w:pPr>
      <w:r>
        <w:rPr>
          <w:rFonts w:ascii="Times New Roman" w:hAnsi="Times New Roman"/>
          <w:sz w:val="20"/>
        </w:rPr>
        <w:t xml:space="preserve">(d) notify each selling holder of Registrable Securities, promptly after Parent receives notice thereof, of the time when such Registration Statement has been declared effective or a supplement to any Prospectus forming a part of such Registration Statement has been filed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(e) furnish to each selling holder of Registrable Securities such number of copies of the Prospectus included in such Registration Statement (including each preliminary Prospectus) and any supplement thereto (in each case including all exhibits and documents incorporated by reference therein) and such other documents as such seller may reasonably request in order to facilitate the disposition of the Registrable Securities owned by such seller; </w:t>
      </w:r>
    </w:p>
    <w:p>
      <w:pPr>
        <w:pStyle w:val="TextBody"/>
        <w:bidi w:val="0"/>
        <w:spacing w:before="120" w:after="0"/>
        <w:jc w:val="left"/>
        <w:rPr>
          <w:rFonts w:ascii="Times New Roman" w:hAnsi="Times New Roman"/>
          <w:sz w:val="20"/>
        </w:rPr>
      </w:pPr>
      <w:r>
        <w:rPr>
          <w:rFonts w:ascii="Times New Roman" w:hAnsi="Times New Roman"/>
          <w:sz w:val="20"/>
        </w:rPr>
        <w:t xml:space="preserve">(f) use its commercially reasonable efforts to register or qualify such Registrable Securities under such other securities or “blue sky” laws of such jurisdictions as any selling holder reasonably requests and do any and all other acts and things which may be reasonably necessary or advisable to enable such holders to consummate the disposition in such jurisdictions of the Registrable Securities owned by such holders; </w:t>
      </w:r>
      <w:r>
        <w:rPr>
          <w:rFonts w:ascii="Times New Roman" w:hAnsi="Times New Roman"/>
          <w:sz w:val="20"/>
          <w:u w:val="single"/>
        </w:rPr>
        <w:t>provided</w:t>
      </w:r>
      <w:r>
        <w:rPr>
          <w:rFonts w:ascii="Times New Roman" w:hAnsi="Times New Roman"/>
          <w:sz w:val="20"/>
        </w:rPr>
        <w:t xml:space="preserve">, that Parent shall not be required to qualify generally to do business, subject itself to general taxation or consent to general service of process in any jurisdiction where it would not otherwise be required to do so but for this </w:t>
      </w:r>
      <w:r>
        <w:rPr>
          <w:rFonts w:ascii="Times New Roman" w:hAnsi="Times New Roman"/>
          <w:sz w:val="20"/>
          <w:u w:val="single"/>
        </w:rPr>
        <w:t>Section 5(f)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notify each selling holder of such Registrable Securities, at any time when a Prospectus relating thereto is required to be delivered under the Securities Act, of the happening of any event that would cause the Prospectus included in such Registration Statement to contain an untrue statement of a material fact or omit any fact necessary in order to make the statements made therein, in light of the circumstances under which they were made, not misleading, and, at the request of any such holder, Parent shall prepare and file as soon as practicable a supplement or amendment to such Prospectus so that, as thereafter delivered to the purchasers of such Registrable Securities, such Prospectus shall not contain an untrue statement of a material fact or omit to state any fact necessary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(h) make available for inspection by any selling holder of Registrable Securities, any underwriter participating in any disposition pursuant to such Registration Statement and any attorney, accountant or other agent retained by any such holder or underwriter (collectively, the “</w:t>
      </w:r>
      <w:r>
        <w:rPr>
          <w:rFonts w:ascii="Times New Roman" w:hAnsi="Times New Roman"/>
          <w:b/>
          <w:i/>
          <w:sz w:val="20"/>
        </w:rPr>
        <w:t>Inspectors</w:t>
      </w:r>
      <w:r>
        <w:rPr>
          <w:rFonts w:ascii="Times New Roman" w:hAnsi="Times New Roman"/>
          <w:sz w:val="20"/>
        </w:rPr>
        <w:t xml:space="preserve">”), all financial and other records, pertinent corporate documents and properties of Parent, and cause Parent’s officers, directors and employees to supply all information reasonably requested by any such Inspector in connection with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provide a transfer agent and registrar (which may be the same entity) for all such Registrable Securities not later than the effective date of such registration; </w:t>
      </w:r>
    </w:p>
    <w:p>
      <w:pPr>
        <w:pStyle w:val="TextBody"/>
        <w:bidi w:val="0"/>
        <w:spacing w:before="120" w:after="0"/>
        <w:jc w:val="left"/>
        <w:rPr>
          <w:rFonts w:ascii="Times New Roman" w:hAnsi="Times New Roman"/>
          <w:sz w:val="20"/>
        </w:rPr>
      </w:pPr>
      <w:r>
        <w:rPr>
          <w:rFonts w:ascii="Times New Roman" w:hAnsi="Times New Roman"/>
          <w:sz w:val="20"/>
        </w:rPr>
        <w:t xml:space="preserve">(j) use its commercially reasonable efforts to cause such Registrable Securities to be listed on each securities exchange on which the Common Stock is then listed; </w:t>
      </w:r>
    </w:p>
    <w:p>
      <w:pPr>
        <w:pStyle w:val="TextBody"/>
        <w:bidi w:val="0"/>
        <w:spacing w:before="120" w:after="0"/>
        <w:jc w:val="left"/>
        <w:rPr>
          <w:rFonts w:ascii="Times New Roman" w:hAnsi="Times New Roman"/>
          <w:sz w:val="20"/>
        </w:rPr>
      </w:pPr>
      <w:r>
        <w:rPr>
          <w:rFonts w:ascii="Times New Roman" w:hAnsi="Times New Roman"/>
          <w:sz w:val="20"/>
        </w:rPr>
        <w:t xml:space="preserve">(k) in connection with an Underwritten Offering, enter into such customary agreements (including underwriting and lock-up agreements in customary form) and take all such other customary actions as the holders of such Registrable Securities or the managing underwriter of such offering reasonably request in order to expedite or facilitate the disposition of such Registrable Securities (including, without limitation, making appropriate officers of Parent available to participate in “road show” and other customary marketing activities (including one-on-one meetings with prospective purchasers of the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(l) otherwise use its commercially reasonable efforts to comply with all applicable rules and regulations of the Commission and make available to its holders an earnings statement (in a form that satisfies the provisions of Section 11(a) of the Securities Act and Rule 158 under the Securities Act or any successor rule thereto) no later than 30 days after the end of the 12-month period beginning with the first day of Parent’s first full fiscal quarter after the effective date of such Registration Statement, which earnings statement shall cover said 12-month period, and which requirement will be deemed to be satisfied if Parent timely files complete and accurate information on Forms 10-K, 10-Q and 8-K under the Exchange Act and otherwise complies with Rule 158 under the Securities Act or any successor rule thereto; </w:t>
      </w:r>
    </w:p>
    <w:p>
      <w:pPr>
        <w:pStyle w:val="TextBody"/>
        <w:bidi w:val="0"/>
        <w:spacing w:before="120" w:after="0"/>
        <w:jc w:val="left"/>
        <w:rPr>
          <w:rFonts w:ascii="Times New Roman" w:hAnsi="Times New Roman"/>
          <w:sz w:val="20"/>
        </w:rPr>
      </w:pPr>
      <w:r>
        <w:rPr>
          <w:rFonts w:ascii="Times New Roman" w:hAnsi="Times New Roman"/>
          <w:sz w:val="20"/>
        </w:rPr>
        <w:t xml:space="preserve">(m) in connection with any Underwritten Offering, furnish to each selling holder of Registrable Securities and each underwriter, if any, with (i) a written legal opinion of Parent’s outside counsel, dated the closing date of the offering, in form and substance as is customarily given in opinions of registrants’ counsel to underwriters in underwritten registered offerings; and (ii) on the date of the applicable Prospectus, on the effective date of any post-effective amendment to the applicable Registration Statement and at the closing of the offering, dated the respective dates of delivery thereof, a comfort letter signed by Parent’s independent certified public accountants in form and substance as is customarily given in accountants’ letters to underwriters in underwritten registered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without limiting </w:t>
      </w:r>
      <w:r>
        <w:rPr>
          <w:rFonts w:ascii="Times New Roman" w:hAnsi="Times New Roman"/>
          <w:sz w:val="20"/>
          <w:u w:val="single"/>
        </w:rPr>
        <w:t>Section 5(f)</w:t>
      </w:r>
      <w:r>
        <w:rPr>
          <w:rFonts w:ascii="Times New Roman" w:hAnsi="Times New Roman"/>
          <w:sz w:val="20"/>
        </w:rPr>
        <w:t xml:space="preserve">, use its commercially reasonable efforts to cause such Registrable Securities to be registered with or approved by such other governmental agencies or authorities as may be necessary by virtue of the business and operations of Parent to enable the holders of such Registrable Securities to consummate the disposition of such Registrable Securities in accordance with their intended method of distribution thereof; </w:t>
      </w:r>
    </w:p>
    <w:p>
      <w:pPr>
        <w:pStyle w:val="TextBody"/>
        <w:bidi w:val="0"/>
        <w:spacing w:before="120" w:after="0"/>
        <w:jc w:val="left"/>
        <w:rPr>
          <w:rFonts w:ascii="Times New Roman" w:hAnsi="Times New Roman"/>
          <w:sz w:val="20"/>
        </w:rPr>
      </w:pPr>
      <w:r>
        <w:rPr>
          <w:rFonts w:ascii="Times New Roman" w:hAnsi="Times New Roman"/>
          <w:sz w:val="20"/>
        </w:rPr>
        <w:t xml:space="preserve">(o) notify the holders of Registrable Securities promptly of any request by the Commission for the amending or supplementing of such Registration Statement or Prospectus or for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(p) advise the holders of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at the earliest possible moment if such stop order should be issued; </w:t>
      </w:r>
    </w:p>
    <w:p>
      <w:pPr>
        <w:pStyle w:val="TextBody"/>
        <w:bidi w:val="0"/>
        <w:spacing w:before="120" w:after="0"/>
        <w:jc w:val="left"/>
        <w:rPr>
          <w:rFonts w:ascii="Times New Roman" w:hAnsi="Times New Roman"/>
          <w:sz w:val="20"/>
        </w:rPr>
      </w:pPr>
      <w:r>
        <w:rPr>
          <w:rFonts w:ascii="Times New Roman" w:hAnsi="Times New Roman"/>
          <w:sz w:val="20"/>
        </w:rPr>
        <w:t xml:space="preserve">(q) permit any holder of Registrable Securities which holder, in its sole and exclusive judgment, might be deemed to be an underwriter or a Controlling Person of Parent, to participate in the preparation of such Registration Statement and to require the insertion therein of language, furnished to Parent in writing, which in the reasonable judgment of such holder and its counsel should be included; </w:t>
      </w:r>
    </w:p>
    <w:p>
      <w:pPr>
        <w:pStyle w:val="TextBody"/>
        <w:bidi w:val="0"/>
        <w:spacing w:before="120" w:after="0"/>
        <w:jc w:val="left"/>
        <w:rPr>
          <w:rFonts w:ascii="Times New Roman" w:hAnsi="Times New Roman"/>
          <w:sz w:val="20"/>
        </w:rPr>
      </w:pPr>
      <w:r>
        <w:rPr>
          <w:rFonts w:ascii="Times New Roman" w:hAnsi="Times New Roman"/>
          <w:sz w:val="20"/>
        </w:rPr>
        <w:t xml:space="preserve">(r) cooperate with the holders of the Registrable Securities to facilitate the timely preparation and delivery of certificates representing the Registrable Securities to be sold pursuant to such Registration Statement free of any restrictive legends and representing such number of shares of Common Stock and registered in such names as the holders of the Registrable Securities may reasonably request a reasonable period of time prior to sales of Registrable Securities pursuant to such Registration Statement; </w:t>
      </w:r>
      <w:r>
        <w:rPr>
          <w:rFonts w:ascii="Times New Roman" w:hAnsi="Times New Roman"/>
          <w:sz w:val="20"/>
          <w:u w:val="single"/>
        </w:rPr>
        <w:t>provided</w:t>
      </w:r>
      <w:r>
        <w:rPr>
          <w:rFonts w:ascii="Times New Roman" w:hAnsi="Times New Roman"/>
          <w:sz w:val="20"/>
        </w:rPr>
        <w:t>, that Parent may satisfy its obligations hereunder without issuing physical stock certificates through the use of the facilities of The Depository Trust Company (“</w:t>
      </w:r>
      <w:r>
        <w:rPr>
          <w:rFonts w:ascii="Times New Roman" w:hAnsi="Times New Roman"/>
          <w:b/>
          <w:i/>
          <w:sz w:val="20"/>
        </w:rPr>
        <w:t>DTC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 not later than the effective date of such Registration Statement, provide a CUSIP number for all Registrable Securities and provide the applicable transfer agent with printed certificates for the Registrable Securities which are in a form eligible for deposit with DTC; </w:t>
      </w:r>
      <w:r>
        <w:rPr>
          <w:rFonts w:ascii="Times New Roman" w:hAnsi="Times New Roman"/>
          <w:sz w:val="20"/>
          <w:u w:val="single"/>
        </w:rPr>
        <w:t>provided</w:t>
      </w:r>
      <w:r>
        <w:rPr>
          <w:rFonts w:ascii="Times New Roman" w:hAnsi="Times New Roman"/>
          <w:sz w:val="20"/>
        </w:rPr>
        <w:t xml:space="preserve">, that Parent may satisfy its obligations hereunder without issuing physical stock certificates through the use of the facilities of DTC; </w:t>
      </w:r>
    </w:p>
    <w:p>
      <w:pPr>
        <w:pStyle w:val="TextBody"/>
        <w:bidi w:val="0"/>
        <w:spacing w:before="120" w:after="0"/>
        <w:jc w:val="left"/>
        <w:rPr>
          <w:rFonts w:ascii="Times New Roman" w:hAnsi="Times New Roman"/>
          <w:sz w:val="20"/>
        </w:rPr>
      </w:pPr>
      <w:r>
        <w:rPr>
          <w:rFonts w:ascii="Times New Roman" w:hAnsi="Times New Roman"/>
          <w:sz w:val="20"/>
        </w:rPr>
        <w:t xml:space="preserve">(t) take no direct or indirect action prohibited by Regulation M under the Exchange Act; </w:t>
      </w:r>
      <w:r>
        <w:rPr>
          <w:rFonts w:ascii="Times New Roman" w:hAnsi="Times New Roman"/>
          <w:sz w:val="20"/>
          <w:u w:val="single"/>
        </w:rPr>
        <w:t>provided</w:t>
      </w:r>
      <w:r>
        <w:rPr>
          <w:rFonts w:ascii="Times New Roman" w:hAnsi="Times New Roman"/>
          <w:sz w:val="20"/>
        </w:rPr>
        <w:t xml:space="preserve">, that, to the extent that any prohibition is applicable to Parent, Parent will take all commercially reasonable action to make any such prohibition inapplicable; and </w:t>
      </w:r>
    </w:p>
    <w:p>
      <w:pPr>
        <w:pStyle w:val="TextBody"/>
        <w:bidi w:val="0"/>
        <w:spacing w:before="120" w:after="0"/>
        <w:jc w:val="left"/>
        <w:rPr>
          <w:rFonts w:ascii="Times New Roman" w:hAnsi="Times New Roman"/>
          <w:sz w:val="20"/>
        </w:rPr>
      </w:pPr>
      <w:r>
        <w:rPr>
          <w:rFonts w:ascii="Times New Roman" w:hAnsi="Times New Roman"/>
          <w:sz w:val="20"/>
        </w:rPr>
        <w:t xml:space="preserve">(u) otherwise use its commercially reasonable efforts to take all other steps necessary to effect the registration of such Registrable Securities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Expenses</w:t>
      </w:r>
      <w:r>
        <w:rPr>
          <w:rFonts w:ascii="Times New Roman" w:hAnsi="Times New Roman"/>
          <w:sz w:val="20"/>
        </w:rPr>
        <w:t xml:space="preserve">. All expenses (other than Selling Expenses) incurred by Parent in complying with its obligations pursuant to this Agreement and in connection with the registration and disposition of Registrable Securities shall be paid by Parent, including, without limitation, all (i) registration and filing fees (including, without limitation, any fees relating to filings required to be made with, or the listing of any Registrable Securities on, any securities exchange or over-the-counter trading market on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Registrable Securities are listed or quoted); (ii) underwriting expenses (other than fees, commissions or discounts); (iii) expenses of any audits incident to or required by any such registration; (iv) fees and expenses of complying with securities and “blue sky” laws (including, without limitation, fees and disbursements of counsel for Parent in connection with “blue sky” qualifications or exemptions of the Registrable Securities) of any domestic jurisdictions, reasonably requested by the holders of Registrable Securities; (v) printing expenses; (vi) messenger, telephone and delivery expenses; (vii) fees and expenses of Parent’s counsel and accountants; (viii) Financial Industry Regulatory Authority, Inc. filing fees (if any); and (ix) reasonable fees and expenses of one counsel for the holders of Registrable Securities participating in such registration as a group (selected by the holders of a majority of the Registrable Securities being sold in any offering). In addition, Parent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of such Registrable Securities, in proportion to the number of Registrable Securities included in such registration for each such holder.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shall indemnify and hold harmless, to the fullest extent permitted by law, each holder of Registrable Securities, such holder’s officers, directors, managers, members, partners, stockholders, employees and Affiliates, and each other Controlling Person, if any, who controls any of the foregoing Persons, against all losses, claims, actions, damages, liabilities and expenses, joint or several, to which any of the foregoing Persons may become subject under the Securities Act or otherwise, insofar as such losses, claims, actions, damages, liabilities or expenses arise out of or are based upon any untrue or alleged untrue statement of a material fact contained in any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and shall reimburse such Persons for any legal or other expenses reasonably incurred by any of them in connection with investigating or defending any such loss, claim, action, damage or liability, except insofar as the same are caused by or contained in any information furnished in writing to Parent by such holder expressly for use therein or by such holder’s failure to deliver a copy of the Registration Statement, Prospectus, preliminary Prospectus, free writing prospectus (as defined in Rule 405 under the Securities Act or any successor rule thereto) or any amendments or supplements thereto (if the same was required by applicable law to be so delivered) after Parent has furnished such holder with a sufficient number of copies of the same prior to any written confirmation of the sale of Registrable Securities. This indemnity shall be in addition to any liability Parent may otherwise have. </w:t>
      </w:r>
    </w:p>
    <w:p>
      <w:pPr>
        <w:pStyle w:val="TextBody"/>
        <w:bidi w:val="0"/>
        <w:spacing w:before="120" w:after="0"/>
        <w:jc w:val="left"/>
        <w:rPr>
          <w:rFonts w:ascii="Times New Roman" w:hAnsi="Times New Roman"/>
          <w:sz w:val="20"/>
        </w:rPr>
      </w:pPr>
      <w:r>
        <w:rPr>
          <w:rFonts w:ascii="Times New Roman" w:hAnsi="Times New Roman"/>
          <w:sz w:val="20"/>
        </w:rPr>
        <w:t xml:space="preserve">(b) In connection with any registration in which a holder of Registrable Securities is participating, such holder shall furnish to Parent in writing such information as Parent reasonably requests for use in connection with any such Registration Statement or Prospectus and, to the extent permitted by law, shall indemnify and hold harmless, Parent, each director of Parent, each officer of Parent who shall sign such Registration Statement, and each Controlling Person who controls any of the foregoing Persons against any losses, claims, actions, damages, liabilities or expenses resulting from any untrue or alleged untrue statement of material fact contained in the Registration Statement, Prospectus, preliminary Prospectus, free writing prospectus (as defined in Rule 405 under the Securities Act or any successor rule thereto) or any amendment thereof or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but only to the extent that such untrue statement or omission is contained in any information so furnished in writing by such holder; </w:t>
      </w:r>
      <w:r>
        <w:rPr>
          <w:rFonts w:ascii="Times New Roman" w:hAnsi="Times New Roman"/>
          <w:sz w:val="20"/>
          <w:u w:val="single"/>
        </w:rPr>
        <w:t>provided</w:t>
      </w:r>
      <w:r>
        <w:rPr>
          <w:rFonts w:ascii="Times New Roman" w:hAnsi="Times New Roman"/>
          <w:sz w:val="20"/>
        </w:rPr>
        <w:t xml:space="preserve">, that the obligation to indemnify shall be several, not joint and several, for such holder and shall not exceed an amount equal to the net proceeds (after underwriting fees, commissions or discounts) actually received by such holder from the sale of Registrable Securities pursuant to such Registration Statement. This indemnity shall be in addition to any liability the selling holder may otherwise have.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party of notice of the commencement of any action involving a claim referred to in this </w:t>
      </w:r>
      <w:r>
        <w:rPr>
          <w:rFonts w:ascii="Times New Roman" w:hAnsi="Times New Roman"/>
          <w:sz w:val="20"/>
          <w:u w:val="single"/>
        </w:rPr>
        <w:t>Section 7</w:t>
      </w:r>
      <w:r>
        <w:rPr>
          <w:rFonts w:ascii="Times New Roman" w:hAnsi="Times New Roman"/>
          <w:sz w:val="20"/>
        </w:rPr>
        <w:t xml:space="preserve">, such indemnified party shall, if a claim in respect thereof is made against an indemnifying party, give written notice to the latter of the commencement of such action. The failure of any indemnified party to notify an indemnifying party of any such action shall not (unless such failure shall have a material adverse effect on the indemnifying party) relieve the indemnifying party from any liability in respect of such action that it may have to such indemnified party hereunder. In case any such action is brought against an indemnified party, the indemnifying party shall be entitled to participate in and to assume the defense of the claims in any such action that are subject or potentially subject to indemnification hereunder, jointly with any other indemnifying party similarly notified to the extent that it may wish, with counsel reasonably satisfactory to such indemnified party, and after written notice from the indemnifying party to such indemnified party of its election so to assume the defense thereof, the indemnifying party shall not be responsible for any legal or other expenses subsequently incurred by the indemnified party in connection with the defense thereof; </w:t>
      </w:r>
      <w:r>
        <w:rPr>
          <w:rFonts w:ascii="Times New Roman" w:hAnsi="Times New Roman"/>
          <w:sz w:val="20"/>
          <w:u w:val="single"/>
        </w:rPr>
        <w:t>provided</w:t>
      </w:r>
      <w:r>
        <w:rPr>
          <w:rFonts w:ascii="Times New Roman" w:hAnsi="Times New Roman"/>
          <w:sz w:val="20"/>
        </w:rPr>
        <w:t xml:space="preserve">, that, if (i) any indemnified party shall have reasonably concluded that there may be one or more legal or equitable defenses available to such indemnified party which are additional to or conflict with those available to the indemnifying party, or that such claim or litigation involves or could have an effect upon matters beyond the scope of the indemnity provided hereunder, or (ii) such action seeks an injunction or equitable relief against any indemnified party or involves actual or alleged criminal activity, the indemnifying party shall not have the right to assume the defense of such action on behalf of such indemnified party without such indemnified party’s prior written consent (but, without such consent, shall have the right to participate therein with counsel of its choice) and such indemnifying party shall reimburse such indemnified party and any Controlling Person of such indemnified party for that portion of the fees and expenses of any counsel retained by the indemnified party which is reasonably related to the matters covered by the indemnity provided hereunder. If the indemnifying party is not entitled to, or elects not to, assume the defense of a claim, it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conflicting indemnified parties shall have a right to retain one separate counsel chosen by the holders of a majority of the Registrable Securities included in the registration, at the expense of the indemnifying party. </w:t>
      </w:r>
    </w:p>
    <w:p>
      <w:pPr>
        <w:pStyle w:val="TextBody"/>
        <w:bidi w:val="0"/>
        <w:spacing w:before="120" w:after="0"/>
        <w:jc w:val="left"/>
        <w:rPr>
          <w:rFonts w:ascii="Times New Roman" w:hAnsi="Times New Roman"/>
          <w:sz w:val="20"/>
        </w:rPr>
      </w:pPr>
      <w:r>
        <w:rPr>
          <w:rFonts w:ascii="Times New Roman" w:hAnsi="Times New Roman"/>
          <w:sz w:val="20"/>
        </w:rPr>
        <w:t xml:space="preserve">(d) If the indemnification provided for hereunder is held by a court of competent jurisdiction to be unavailable to an indemnified party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hand in connection with the statements or omissions that resulted in such loss,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damage, liability or action as well as any other relevant equitable considerations; </w:t>
      </w:r>
      <w:r>
        <w:rPr>
          <w:rFonts w:ascii="Times New Roman" w:hAnsi="Times New Roman"/>
          <w:sz w:val="20"/>
          <w:u w:val="single"/>
        </w:rPr>
        <w:t>provided</w:t>
      </w:r>
      <w:r>
        <w:rPr>
          <w:rFonts w:ascii="Times New Roman" w:hAnsi="Times New Roman"/>
          <w:sz w:val="20"/>
        </w:rPr>
        <w:t xml:space="preserve">, that the maximum amount of liability in respect of such contribution shall be limited, in the case of each holder of Registrable Securities, to an amount equal to the net proceeds (after underwriting fees, commissions or discounts)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whether the violation of the Securities Act or any other similar federal or state securities laws or rule or regulation promulgated thereunder applicable to Parent and relating to action or inaction required of Parent in connection with any applicable registration, qualification or compliance was perpetrated by the indemnifying party or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 No Person guilty or liable of fraudulent misrepresentation within the meaning of Section 11(f) of the Securities Act shall be entitled to contribution from any Person who was not guilty of such fraudulent misrepresentation. The contribution obligations of each holder under this </w:t>
      </w:r>
      <w:r>
        <w:rPr>
          <w:rFonts w:ascii="Times New Roman" w:hAnsi="Times New Roman"/>
          <w:sz w:val="20"/>
          <w:u w:val="single"/>
        </w:rPr>
        <w:t>Section 7</w:t>
      </w:r>
      <w:r>
        <w:rPr>
          <w:rFonts w:ascii="Times New Roman" w:hAnsi="Times New Roman"/>
          <w:sz w:val="20"/>
        </w:rPr>
        <w:t xml:space="preserve"> shall be several and not joint and several.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Participation in Underwritten Registrations</w:t>
      </w:r>
      <w:r>
        <w:rPr>
          <w:rFonts w:ascii="Times New Roman" w:hAnsi="Times New Roman"/>
          <w:sz w:val="20"/>
        </w:rPr>
        <w:t xml:space="preserve">. No Person may participate in any registration hereunder that is underwritten unless such Person (a) agrees to sell such Person’s securities on the basis provided in any underwriting arrangements approved by the Person or Persons entitled hereunder to approve such arrangements and (b) completes and executes all customary questionnaires, powers of attorney, indemnities, underwriting agreements and other customary documents on terms reasonably acceptable to such Person as are reasonably required under the terms of such underwriting arrangements; </w:t>
      </w:r>
      <w:r>
        <w:rPr>
          <w:rFonts w:ascii="Times New Roman" w:hAnsi="Times New Roman"/>
          <w:sz w:val="20"/>
          <w:u w:val="single"/>
        </w:rPr>
        <w:t>provided</w:t>
      </w:r>
      <w:r>
        <w:rPr>
          <w:rFonts w:ascii="Times New Roman" w:hAnsi="Times New Roman"/>
          <w:sz w:val="20"/>
        </w:rPr>
        <w:t xml:space="preserve"> that any obligation of such Person to indemnify or contribute to any Person thereunder shall be consistent with, and in no respect broader or result in greater liability than, such Person’s obligations and applicable liability limitations under </w:t>
      </w:r>
      <w:r>
        <w:rPr>
          <w:rFonts w:ascii="Times New Roman" w:hAnsi="Times New Roman"/>
          <w:sz w:val="20"/>
          <w:u w:val="single"/>
        </w:rPr>
        <w:t>Sections 7(b)</w:t>
      </w:r>
      <w:r>
        <w:rPr>
          <w:rFonts w:ascii="Times New Roman" w:hAnsi="Times New Roman"/>
          <w:sz w:val="20"/>
        </w:rPr>
        <w:t xml:space="preserve"> and </w:t>
      </w:r>
      <w:r>
        <w:rPr>
          <w:rFonts w:ascii="Times New Roman" w:hAnsi="Times New Roman"/>
          <w:sz w:val="20"/>
          <w:u w:val="single"/>
        </w:rPr>
        <w:t>7(d)</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Rule 144 Compliance</w:t>
      </w:r>
      <w:r>
        <w:rPr>
          <w:rFonts w:ascii="Times New Roman" w:hAnsi="Times New Roman"/>
          <w:sz w:val="20"/>
        </w:rPr>
        <w:t xml:space="preserve">. With a view to making available to the holders of Registrable Securities the benefits of Rule 144 and any other rule or regulation of the Commission that may at any time permit a holder to sell securities of Parent to the public without registration, Parent shall: </w:t>
      </w:r>
    </w:p>
    <w:p>
      <w:pPr>
        <w:pStyle w:val="TextBody"/>
        <w:bidi w:val="0"/>
        <w:spacing w:before="120" w:after="0"/>
        <w:jc w:val="left"/>
        <w:rPr>
          <w:rFonts w:ascii="Times New Roman" w:hAnsi="Times New Roman"/>
          <w:sz w:val="20"/>
        </w:rPr>
      </w:pPr>
      <w:r>
        <w:rPr>
          <w:rFonts w:ascii="Times New Roman" w:hAnsi="Times New Roman"/>
          <w:sz w:val="20"/>
        </w:rPr>
        <w:t xml:space="preserve">(a) use commercially reasonable efforts to make and keep public information available, as those terms are understood and defined in Rule 144; </w:t>
      </w:r>
    </w:p>
    <w:p>
      <w:pPr>
        <w:pStyle w:val="TextBody"/>
        <w:bidi w:val="0"/>
        <w:spacing w:before="120" w:after="0"/>
        <w:jc w:val="left"/>
        <w:rPr>
          <w:rFonts w:ascii="Times New Roman" w:hAnsi="Times New Roman"/>
          <w:sz w:val="20"/>
        </w:rPr>
      </w:pPr>
      <w:r>
        <w:rPr>
          <w:rFonts w:ascii="Times New Roman" w:hAnsi="Times New Roman"/>
          <w:sz w:val="20"/>
        </w:rPr>
        <w:t xml:space="preserve">(b) use commercially reasonable efforts to file with the Commission in a timely manner all reports and other documents required of Parent under the Securities Act and the Exchange Act; and </w:t>
      </w:r>
    </w:p>
    <w:p>
      <w:pPr>
        <w:pStyle w:val="TextBody"/>
        <w:bidi w:val="0"/>
        <w:spacing w:before="120" w:after="0"/>
        <w:jc w:val="left"/>
        <w:rPr>
          <w:rFonts w:ascii="Times New Roman" w:hAnsi="Times New Roman"/>
          <w:sz w:val="20"/>
        </w:rPr>
      </w:pPr>
      <w:r>
        <w:rPr>
          <w:rFonts w:ascii="Times New Roman" w:hAnsi="Times New Roman"/>
          <w:sz w:val="20"/>
        </w:rPr>
        <w:t>(c) furnish to any holder so long as such holder owns Registrable Securities, promptly upon request, (i) a written statement by Parent as to its compliance with the reporting requirements of Rule 144 and of the Securities Act and the Exchange Act, (ii) a copy of the most recent annual or quarterly report of Parent, unless available in the Electronic Data Gathering, Analysis and Retrieval database of the Commission (“</w:t>
      </w:r>
      <w:r>
        <w:rPr>
          <w:rFonts w:ascii="Times New Roman" w:hAnsi="Times New Roman"/>
          <w:b/>
          <w:i/>
          <w:sz w:val="20"/>
        </w:rPr>
        <w:t>EDGAR</w:t>
      </w:r>
      <w:r>
        <w:rPr>
          <w:rFonts w:ascii="Times New Roman" w:hAnsi="Times New Roman"/>
          <w:sz w:val="20"/>
        </w:rPr>
        <w:t xml:space="preserve">”), (iii) such other reports and documents so filed or furnished by Parent as such holder may reasonably request in connection with the sale of Registrable Securities without registration, unless such reports or documents are available in EDGAR and (iv) subject to receipt of customary seller and broker representation letters, the opinion of Parent’s counsel, in form and substance reasonably acceptable to the transfer agent for the Common Stock, relating to such matters as such transfer agent may reasonably request in connection with the removal of any restrictive legends contained on such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Recapitalization, Exchanges, Etc. Affecting the Securities</w:t>
      </w:r>
      <w:r>
        <w:rPr>
          <w:rFonts w:ascii="Times New Roman" w:hAnsi="Times New Roman"/>
          <w:sz w:val="20"/>
        </w:rPr>
        <w:t xml:space="preserve">. The provisions of this Agreement shall apply to the full extent set forth herein with respect to any and all Common Stock of Parent or any successor or assign of Parent (whether by merger, consolidation, sale of assets or otherwise) that may be issued in respect of, in exchange for or in substitution of, the Registrable Securities, and shall be appropriately adjusted for combinations, splits, recapitalizations, pro rata distributions and the like occurring on or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xml:space="preserve">. This Agreement shall terminate and be of no further force or effect with respect to any Stockholder or any Permitted Assignee when such Person shall no longer beneficially own any Registrable Securities; </w:t>
      </w:r>
      <w:r>
        <w:rPr>
          <w:rFonts w:ascii="Times New Roman" w:hAnsi="Times New Roman"/>
          <w:sz w:val="20"/>
          <w:u w:val="single"/>
        </w:rPr>
        <w:t>provided</w:t>
      </w:r>
      <w:r>
        <w:rPr>
          <w:rFonts w:ascii="Times New Roman" w:hAnsi="Times New Roman"/>
          <w:sz w:val="20"/>
        </w:rPr>
        <w:t xml:space="preserve">, that the provisions of </w:t>
      </w:r>
      <w:r>
        <w:rPr>
          <w:rFonts w:ascii="Times New Roman" w:hAnsi="Times New Roman"/>
          <w:sz w:val="20"/>
          <w:u w:val="single"/>
        </w:rPr>
        <w:t>Section 6</w:t>
      </w:r>
      <w:r>
        <w:rPr>
          <w:rFonts w:ascii="Times New Roman" w:hAnsi="Times New Roman"/>
          <w:sz w:val="20"/>
        </w:rPr>
        <w:t xml:space="preserve"> and </w:t>
      </w:r>
      <w:r>
        <w:rPr>
          <w:rFonts w:ascii="Times New Roman" w:hAnsi="Times New Roman"/>
          <w:sz w:val="20"/>
          <w:u w:val="single"/>
        </w:rPr>
        <w:t>Section 7</w:t>
      </w:r>
      <w:r>
        <w:rPr>
          <w:rFonts w:ascii="Times New Roman" w:hAnsi="Times New Roman"/>
          <w:sz w:val="20"/>
        </w:rPr>
        <w:t xml:space="preserve"> shall survive any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notices, requests, demands and other communications under this Agreement shall be in writing and shall be deemed to have been duly given or made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sent by registered or certified mail in the United States return receipt requested, upon receipt; </w:t>
      </w:r>
    </w:p>
    <w:p>
      <w:pPr>
        <w:pStyle w:val="TextBody"/>
        <w:bidi w:val="0"/>
        <w:spacing w:before="120" w:after="0"/>
        <w:jc w:val="left"/>
        <w:rPr>
          <w:rFonts w:ascii="Times New Roman" w:hAnsi="Times New Roman"/>
          <w:sz w:val="20"/>
        </w:rPr>
      </w:pPr>
      <w:r>
        <w:rPr>
          <w:rFonts w:ascii="Times New Roman" w:hAnsi="Times New Roman"/>
          <w:sz w:val="20"/>
        </w:rPr>
        <w:t xml:space="preserve">(b) if sent by nationally recognized overnight air courier, one (1) Business Day after mailing; </w:t>
      </w:r>
    </w:p>
    <w:p>
      <w:pPr>
        <w:pStyle w:val="TextBody"/>
        <w:bidi w:val="0"/>
        <w:spacing w:before="120" w:after="0"/>
        <w:jc w:val="left"/>
        <w:rPr>
          <w:rFonts w:ascii="Times New Roman" w:hAnsi="Times New Roman"/>
          <w:sz w:val="20"/>
        </w:rPr>
      </w:pPr>
      <w:r>
        <w:rPr>
          <w:rFonts w:ascii="Times New Roman" w:hAnsi="Times New Roman"/>
          <w:sz w:val="20"/>
        </w:rPr>
        <w:t xml:space="preserve">(c) if sent by e-mail transmission, with a copy sent on the same day in the manner provided in </w:t>
      </w:r>
      <w:r>
        <w:rPr>
          <w:rFonts w:ascii="Times New Roman" w:hAnsi="Times New Roman"/>
          <w:sz w:val="20"/>
          <w:u w:val="single"/>
        </w:rPr>
        <w:t>Section 12(a)</w:t>
      </w:r>
      <w:r>
        <w:rPr>
          <w:rFonts w:ascii="Times New Roman" w:hAnsi="Times New Roman"/>
          <w:sz w:val="20"/>
        </w:rPr>
        <w:t xml:space="preserve"> or </w:t>
      </w:r>
      <w:r>
        <w:rPr>
          <w:rFonts w:ascii="Times New Roman" w:hAnsi="Times New Roman"/>
          <w:sz w:val="20"/>
          <w:u w:val="single"/>
        </w:rPr>
        <w:t>Section 12(b)</w:t>
      </w:r>
      <w:r>
        <w:rPr>
          <w:rFonts w:ascii="Times New Roman" w:hAnsi="Times New Roman"/>
          <w:sz w:val="20"/>
        </w:rPr>
        <w:t xml:space="preserve">, when transmitted and receipt is confirmed; and if otherwise actually personally delivered, when delivered. All communications to the Parties shall be sent to the following addresses (or any other address that any such Party may designate by written notice to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If to Parent: </w:t>
      </w:r>
    </w:p>
    <w:p>
      <w:pPr>
        <w:pStyle w:val="TextBody"/>
        <w:bidi w:val="0"/>
        <w:spacing w:before="120" w:after="0"/>
        <w:jc w:val="left"/>
        <w:rPr>
          <w:rFonts w:ascii="Times New Roman" w:hAnsi="Times New Roman"/>
          <w:sz w:val="20"/>
        </w:rPr>
      </w:pPr>
      <w:r>
        <w:rPr>
          <w:rFonts w:ascii="Times New Roman" w:hAnsi="Times New Roman"/>
          <w:sz w:val="20"/>
        </w:rPr>
        <w:t xml:space="preserve">KLX Energy Services Holdings, Inc. </w:t>
      </w:r>
    </w:p>
    <w:p>
      <w:pPr>
        <w:pStyle w:val="TextBody"/>
        <w:bidi w:val="0"/>
        <w:spacing w:before="0" w:after="0"/>
        <w:jc w:val="left"/>
        <w:rPr>
          <w:rFonts w:ascii="Times New Roman" w:hAnsi="Times New Roman"/>
          <w:sz w:val="20"/>
        </w:rPr>
      </w:pPr>
      <w:r>
        <w:rPr>
          <w:rFonts w:ascii="Times New Roman" w:hAnsi="Times New Roman"/>
          <w:sz w:val="20"/>
        </w:rPr>
        <w:t xml:space="preserve">3040 Post Oak Boulevard, 15th Floor </w:t>
      </w:r>
    </w:p>
    <w:p>
      <w:pPr>
        <w:pStyle w:val="TextBody"/>
        <w:bidi w:val="0"/>
        <w:spacing w:before="0" w:after="0"/>
        <w:jc w:val="left"/>
        <w:rPr>
          <w:rFonts w:ascii="Times New Roman" w:hAnsi="Times New Roman"/>
          <w:sz w:val="20"/>
        </w:rPr>
      </w:pPr>
      <w:r>
        <w:rPr>
          <w:rFonts w:ascii="Times New Roman" w:hAnsi="Times New Roman"/>
          <w:sz w:val="20"/>
        </w:rPr>
        <w:t xml:space="preserve">Houston, TX 77056 </w:t>
      </w:r>
    </w:p>
    <w:p>
      <w:pPr>
        <w:pStyle w:val="TextBody"/>
        <w:bidi w:val="0"/>
        <w:spacing w:before="0" w:after="0"/>
        <w:jc w:val="left"/>
        <w:rPr>
          <w:rFonts w:ascii="Times New Roman" w:hAnsi="Times New Roman"/>
          <w:sz w:val="20"/>
        </w:rPr>
      </w:pPr>
      <w:r>
        <w:rPr>
          <w:rFonts w:ascii="Times New Roman" w:hAnsi="Times New Roman"/>
          <w:sz w:val="20"/>
        </w:rPr>
        <w:t xml:space="preserve">Attention: Max Bouthillette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Vinson &amp; Elkins LLP </w:t>
      </w:r>
    </w:p>
    <w:p>
      <w:pPr>
        <w:pStyle w:val="TextBody"/>
        <w:bidi w:val="0"/>
        <w:spacing w:before="0" w:after="0"/>
        <w:jc w:val="left"/>
        <w:rPr>
          <w:rFonts w:ascii="Times New Roman" w:hAnsi="Times New Roman"/>
          <w:sz w:val="20"/>
        </w:rPr>
      </w:pPr>
      <w:r>
        <w:rPr>
          <w:rFonts w:ascii="Times New Roman" w:hAnsi="Times New Roman"/>
          <w:sz w:val="20"/>
        </w:rPr>
        <w:t xml:space="preserve">2001 Ross Avenue, Suite 3900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75201 </w:t>
      </w:r>
    </w:p>
    <w:p>
      <w:pPr>
        <w:pStyle w:val="TextBody"/>
        <w:bidi w:val="0"/>
        <w:spacing w:before="0" w:after="0"/>
        <w:jc w:val="left"/>
        <w:rPr>
          <w:rFonts w:ascii="Times New Roman" w:hAnsi="Times New Roman"/>
          <w:sz w:val="20"/>
        </w:rPr>
      </w:pPr>
      <w:r>
        <w:rPr>
          <w:rFonts w:ascii="Times New Roman" w:hAnsi="Times New Roman"/>
          <w:sz w:val="20"/>
        </w:rPr>
        <w:t xml:space="preserve">Attention: Sarah K. Morgan; Katherine Terrell Frank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a stockholder, to the address listed on the applicable signature page hereto.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White &amp; Case LLP </w:t>
      </w:r>
    </w:p>
    <w:p>
      <w:pPr>
        <w:pStyle w:val="TextBody"/>
        <w:bidi w:val="0"/>
        <w:spacing w:before="0" w:after="0"/>
        <w:jc w:val="left"/>
        <w:rPr>
          <w:rFonts w:ascii="Times New Roman" w:hAnsi="Times New Roman"/>
          <w:sz w:val="20"/>
        </w:rPr>
      </w:pPr>
      <w:r>
        <w:rPr>
          <w:rFonts w:ascii="Times New Roman" w:hAnsi="Times New Roman"/>
          <w:sz w:val="20"/>
        </w:rPr>
        <w:t xml:space="preserve">1221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10020-1095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Weisberg; A.J. Ericksen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If to a Permitted Assignee, to the address set forth on the applicable joinder agreement signature page.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Entire Agreement</w:t>
      </w:r>
      <w:r>
        <w:rPr>
          <w:rFonts w:ascii="Times New Roman" w:hAnsi="Times New Roman"/>
          <w:sz w:val="20"/>
        </w:rPr>
        <w:t xml:space="preserve">. This Agreement and any related exhibits and schedules thereto, constitutes the sole and entire agreement of the Parties to this Agreement with respect to the subject matter contained herein, and supersedes all prior and contemporaneous understandings and agreements, both written and oral,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 and Assigns</w:t>
      </w:r>
      <w:r>
        <w:rPr>
          <w:rFonts w:ascii="Times New Roman" w:hAnsi="Times New Roman"/>
          <w:sz w:val="20"/>
        </w:rPr>
        <w:t xml:space="preserve">. This Agreement shall be binding upon and shall inure to the benefit of the Parties hereto and their respective successors and permitted assigns. Parent may assign this Agreement at any time in connection with a sale or acquisition of Parent, whether by merger, consolidation, sale of all or substantially all of Parent’s assets, or similar transaction, without the consent of the other Parties; </w:t>
      </w:r>
      <w:r>
        <w:rPr>
          <w:rFonts w:ascii="Times New Roman" w:hAnsi="Times New Roman"/>
          <w:sz w:val="20"/>
          <w:u w:val="single"/>
        </w:rPr>
        <w:t>provided</w:t>
      </w:r>
      <w:r>
        <w:rPr>
          <w:rFonts w:ascii="Times New Roman" w:hAnsi="Times New Roman"/>
          <w:sz w:val="20"/>
        </w:rPr>
        <w:t>, that the successor or acquiring Person agrees in writing to assume all of Parent’s rights and obligations under this Agreement. A Stockholder may assign its rights under this Agreement solely to any Affiliate of a Stockholder (the “</w:t>
      </w:r>
      <w:r>
        <w:rPr>
          <w:rFonts w:ascii="Times New Roman" w:hAnsi="Times New Roman"/>
          <w:b/>
          <w:i/>
          <w:sz w:val="20"/>
        </w:rPr>
        <w:t>Permitted Assignee</w:t>
      </w:r>
      <w:r>
        <w:rPr>
          <w:rFonts w:ascii="Times New Roman" w:hAnsi="Times New Roman"/>
          <w:sz w:val="20"/>
        </w:rPr>
        <w:t xml:space="preserve">”). The Parent shall be given written notice prior to any such assignment, stating the name and address of such Permitted Assignee and identifying the Registrable Securities being transferred and, unless already bound hereby, as a condition to the effectiveness of such assignment, each such Permitted Assignee shall, as a condition to the effectiveness of such assignment, assume in writing responsibility for its rights and obligations under this Agreement, by executing a joinder agreement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No Third-Party Beneficiaries</w:t>
      </w:r>
      <w:r>
        <w:rPr>
          <w:rFonts w:ascii="Times New Roman" w:hAnsi="Times New Roman"/>
          <w:sz w:val="20"/>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Parties hereto hereby acknowledge that the Persons set forth in </w:t>
      </w:r>
      <w:r>
        <w:rPr>
          <w:rFonts w:ascii="Times New Roman" w:hAnsi="Times New Roman"/>
          <w:sz w:val="20"/>
          <w:u w:val="single"/>
        </w:rPr>
        <w:t>Section 7</w:t>
      </w:r>
      <w:r>
        <w:rPr>
          <w:rFonts w:ascii="Times New Roman" w:hAnsi="Times New Roman"/>
          <w:sz w:val="20"/>
        </w:rPr>
        <w:t xml:space="preserve"> are express third-party beneficiaries of the obligations of the Parties hereto set forth in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Headings</w:t>
      </w:r>
      <w:r>
        <w:rPr>
          <w:rFonts w:ascii="Times New Roman" w:hAnsi="Times New Roman"/>
          <w:sz w:val="20"/>
        </w:rPr>
        <w:t xml:space="preserve">. The headings in this Agreement are for reference only and shall not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Amendments and Waivers</w:t>
      </w:r>
      <w:r>
        <w:rPr>
          <w:rFonts w:ascii="Times New Roman" w:hAnsi="Times New Roman"/>
          <w:sz w:val="20"/>
        </w:rPr>
        <w:t xml:space="preserve">. No amendment of any provision of this Agreement shall be valid unless the same shall be in writing and signed by Parent and the holders of a majority of the then-outstanding Registrable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amendment that would disproportionately and adversely affect the rights of any holder of Registrable Securities relative to other holders of Registrable Securities shall be effective without the prior written consent of such affected holder. For the avoidance of doubt, no amendment of any provision of </w:t>
      </w:r>
      <w:r>
        <w:rPr>
          <w:rFonts w:ascii="Times New Roman" w:hAnsi="Times New Roman"/>
          <w:sz w:val="20"/>
          <w:u w:val="single"/>
        </w:rPr>
        <w:t>Section 7</w:t>
      </w:r>
      <w:r>
        <w:rPr>
          <w:rFonts w:ascii="Times New Roman" w:hAnsi="Times New Roman"/>
          <w:sz w:val="20"/>
        </w:rPr>
        <w:t xml:space="preserve"> shall apply to any holder without their prior written consent. No waiver by any Party hereto of any default, misrepresentation or breach of warranty or covenant hereunder, regardless of whether intentional, shall be deemed to extend to any prior or subsequent default, misrepresentation or breach of warranty or covenant hereunder or affect in any way any rights arising by virtue of any prior or subsequent such occurrence.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Remedies</w:t>
      </w:r>
      <w:r>
        <w:rPr>
          <w:rFonts w:ascii="Times New Roman" w:hAnsi="Times New Roman"/>
          <w:sz w:val="20"/>
        </w:rPr>
        <w:t xml:space="preserve">. Each holder of Registrable Securities that is a Party hereto in addition to being entitled to exercise all rights granted by law, including recovery of damages, shall be entitled to specific performance of its rights under this Agreement. Parent acknowledges that monetary damages would not be adequate compensation for any loss incurred by reason of a breach by it of the provisions of this Agreement and Parent hereby agrees to waive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Governing Law; Submission to Jurisdiction</w:t>
      </w:r>
      <w:r>
        <w:rPr>
          <w:rFonts w:ascii="Times New Roman" w:hAnsi="Times New Roman"/>
          <w:sz w:val="20"/>
        </w:rPr>
        <w:t xml:space="preserve">. This Agreement shall be governed by and construed in accordance with the laws of the State of Delaware. Any legal suit, action or proceeding arising out of or based upon this Agreement or the transactions contemplated hereby may be instituted in the Delaware Chancery Courts located in Wilmington, Delaware, or, if such court shall not have jurisdiction, any federal court of the United States of America or other Delaware state court located in Wilmington, Delaware, and appropriate appellate courts therefrom,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the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Counterparts</w:t>
      </w:r>
      <w:r>
        <w:rPr>
          <w:rFonts w:ascii="Times New Roman" w:hAnsi="Times New Roman"/>
          <w:sz w:val="20"/>
        </w:rPr>
        <w:t xml:space="preserve">. This Agreement may be executed in counterparts, each of which shall be deemed an original but which together shall constitute one and the same instrument. A signed copy of this Agreement delivered by e-mail or other means of electronic transmission shall be deemed to have the same legal effect as delivery of an original signed copy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Further Assurances</w:t>
      </w:r>
      <w:r>
        <w:rPr>
          <w:rFonts w:ascii="Times New Roman" w:hAnsi="Times New Roman"/>
          <w:sz w:val="20"/>
        </w:rPr>
        <w:t xml:space="preserve">. Each of the Parties to this Agreement shall, and shall cause their controlled Affiliates to, execute and deliver such additional documents, instruments, conveyances and assurances and take such further actions as may be reasonably required to carry out the provisions hereof and to give effect to the transactions contemplated hereby.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executed and delivered as of the date first 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1"/>
        <w:gridCol w:w="60"/>
        <w:gridCol w:w="686"/>
        <w:gridCol w:w="60"/>
        <w:gridCol w:w="2915"/>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KLX ENERGY SERVICES HOLDINGS, INC.</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4"/>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1" w:type="dxa"/>
            <w:gridSpan w:val="3"/>
            <w:tcBorders/>
          </w:tcPr>
          <w:p>
            <w:pPr>
              <w:pStyle w:val="TableContents"/>
              <w:pBdr>
                <w:bottom w:val="single" w:sz="2" w:space="1" w:color="000000"/>
              </w:pBdr>
              <w:bidi w:val="0"/>
              <w:spacing w:before="0" w:after="20"/>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283"/>
              <w:jc w:val="left"/>
              <w:rPr/>
            </w:pPr>
            <w:r>
              <w:rPr/>
              <w:t>Max L. Bouthillette</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283"/>
              <w:jc w:val="left"/>
              <w:rPr/>
            </w:pPr>
            <w:r>
              <w:rPr/>
              <w:t>Executive Vice President, General Counsel, Chief Compliance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JOINDER AGREEMENT TO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The undersigned hereby agrees to be bound by the terms and provisions of that certain Registration Rights Agreement, dated as of [], 2026 (the “</w:t>
      </w:r>
      <w:r>
        <w:rPr>
          <w:rFonts w:ascii="Times New Roman" w:hAnsi="Times New Roman"/>
          <w:b/>
          <w:i/>
          <w:sz w:val="20"/>
        </w:rPr>
        <w:t>Registration Rights Agreement</w:t>
      </w:r>
      <w:r>
        <w:rPr>
          <w:rFonts w:ascii="Times New Roman" w:hAnsi="Times New Roman"/>
          <w:sz w:val="20"/>
        </w:rPr>
        <w:t>”), by and among KLX Energy Services Holdings, Inc., a Delaware corporation (“</w:t>
      </w:r>
      <w:r>
        <w:rPr>
          <w:rFonts w:ascii="Times New Roman" w:hAnsi="Times New Roman"/>
          <w:b/>
          <w:i/>
          <w:sz w:val="20"/>
        </w:rPr>
        <w:t>Parent</w:t>
      </w:r>
      <w:r>
        <w:rPr>
          <w:rFonts w:ascii="Times New Roman" w:hAnsi="Times New Roman"/>
          <w:sz w:val="20"/>
        </w:rPr>
        <w:t xml:space="preserve">”), [], and any Permitted Assignee (as defined in the Registration Rights Agreement) who may become party thereto from time to time, and to join in the Registration Rights Agreement as if the undersigned were originally a Party thereto.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this joinder agreement as of [DATE].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42"/>
        <w:gridCol w:w="112"/>
        <w:gridCol w:w="3328"/>
      </w:tblGrid>
      <w:tr>
        <w:trPr/>
        <w:tc>
          <w:tcPr>
            <w:tcW w:w="642"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By:</w:t>
            </w:r>
          </w:p>
        </w:tc>
        <w:tc>
          <w:tcPr>
            <w:tcW w:w="112"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Address: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Limited Joinder </w:t>
      </w:r>
    </w:p>
    <w:p>
      <w:pPr>
        <w:pStyle w:val="TextBody"/>
        <w:bidi w:val="0"/>
        <w:spacing w:before="240" w:after="0"/>
        <w:jc w:val="center"/>
        <w:rPr>
          <w:rFonts w:ascii="Times New Roman" w:hAnsi="Times New Roman"/>
          <w:b/>
          <w:sz w:val="20"/>
        </w:rPr>
      </w:pPr>
      <w:r>
        <w:rPr>
          <w:rFonts w:ascii="Times New Roman" w:hAnsi="Times New Roman"/>
          <w:b/>
          <w:sz w:val="20"/>
        </w:rPr>
        <w:t xml:space="preserve">LIMITED JOINDER AGREEMENT </w:t>
      </w:r>
    </w:p>
    <w:p>
      <w:pPr>
        <w:pStyle w:val="TextBody"/>
        <w:bidi w:val="0"/>
        <w:spacing w:before="240" w:after="0"/>
        <w:jc w:val="left"/>
        <w:rPr>
          <w:rFonts w:ascii="Times New Roman" w:hAnsi="Times New Roman"/>
          <w:sz w:val="20"/>
        </w:rPr>
      </w:pPr>
      <w:r>
        <w:rPr>
          <w:rFonts w:ascii="Times New Roman" w:hAnsi="Times New Roman"/>
          <w:sz w:val="20"/>
        </w:rPr>
        <w:t>This Limited Joinder Agreement (this “</w:t>
      </w:r>
      <w:r>
        <w:rPr>
          <w:rFonts w:ascii="Times New Roman" w:hAnsi="Times New Roman"/>
          <w:sz w:val="20"/>
          <w:u w:val="single"/>
        </w:rPr>
        <w:t>Limited Joinder</w:t>
      </w:r>
      <w:r>
        <w:rPr>
          <w:rFonts w:ascii="Times New Roman" w:hAnsi="Times New Roman"/>
          <w:sz w:val="20"/>
        </w:rPr>
        <w:t xml:space="preserve">”) is executed and delivered as of [], 2026 by the undersigned (the </w:t>
      </w:r>
      <w:r>
        <w:rPr>
          <w:rFonts w:ascii="Times New Roman" w:hAnsi="Times New Roman"/>
          <w:sz w:val="20"/>
          <w:u w:val="single"/>
        </w:rPr>
        <w:t>“Support Party”</w:t>
      </w:r>
      <w:r>
        <w:rPr>
          <w:rFonts w:ascii="Times New Roman" w:hAnsi="Times New Roman"/>
          <w:sz w:val="20"/>
        </w:rPr>
        <w:t>) in connection with that certain Rights Offering Backstop Agreement, dated as of August 6, 2026 (as amended, restated, supplemented or otherwise modified from time to time, the “</w:t>
      </w:r>
      <w:r>
        <w:rPr>
          <w:rFonts w:ascii="Times New Roman" w:hAnsi="Times New Roman"/>
          <w:sz w:val="20"/>
          <w:u w:val="single"/>
        </w:rPr>
        <w:t>Agreement</w:t>
      </w:r>
      <w:r>
        <w:rPr>
          <w:rFonts w:ascii="Times New Roman" w:hAnsi="Times New Roman"/>
          <w:sz w:val="20"/>
        </w:rPr>
        <w:t>”), by and among KLX Energy Services Holdings, Inc., a Delaware corporation (the “</w:t>
      </w:r>
      <w:r>
        <w:rPr>
          <w:rFonts w:ascii="Times New Roman" w:hAnsi="Times New Roman"/>
          <w:sz w:val="20"/>
          <w:u w:val="single"/>
        </w:rPr>
        <w:t>Company</w:t>
      </w:r>
      <w:r>
        <w:rPr>
          <w:rFonts w:ascii="Times New Roman" w:hAnsi="Times New Roman"/>
          <w:sz w:val="20"/>
        </w:rPr>
        <w:t xml:space="preserve">”), and the Backstop Parties party thereto. Capitalized terms used but not otherwise defined herein have the meanings given to them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Support Party hereby agrees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 xml:space="preserve">Joinder as Support Party. </w:t>
      </w:r>
      <w:r>
        <w:rPr>
          <w:rFonts w:ascii="Times New Roman" w:hAnsi="Times New Roman"/>
          <w:sz w:val="20"/>
        </w:rPr>
        <w:t>Effective as of the date first written above (the “</w:t>
      </w:r>
      <w:r>
        <w:rPr>
          <w:rFonts w:ascii="Times New Roman" w:hAnsi="Times New Roman"/>
          <w:sz w:val="20"/>
          <w:u w:val="single"/>
        </w:rPr>
        <w:t>Joinder Effective Date</w:t>
      </w:r>
      <w:r>
        <w:rPr>
          <w:rFonts w:ascii="Times New Roman" w:hAnsi="Times New Roman"/>
          <w:sz w:val="20"/>
        </w:rPr>
        <w:t xml:space="preserve">”), the Support Party hereby becomes a party to the Agreement solely as a Support Party and not as a Backstop Party. The Support Party joins the Agreement for the sole purpose set forth in Section 2 below and shall not, by virtue of this Limited Joinder, be deemed a Backstop Party for any purpose under the Agreement, except for Sections 2 and 4 of this Limited Joinder.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 xml:space="preserve">Consent to A&amp;R Indenture. </w:t>
      </w:r>
      <w:r>
        <w:rPr>
          <w:rFonts w:ascii="Times New Roman" w:hAnsi="Times New Roman"/>
          <w:sz w:val="20"/>
        </w:rPr>
        <w:t xml:space="preserve">The Support Party, in its capacity as a holder of 2030 Notes, hereby consents to the entry of the A&amp;R Indenture, and agrees to deliver such consents, certifications and other documentation as are contemplated by the Agreement to be delivered by a holder of 2030 Notes pursuant to Section 4(b)(v) of the Agreement in connection with the entry into the A&amp;R Indenture.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 xml:space="preserve">No Backstop Commitment; No Backstop Party Obligations. </w:t>
      </w:r>
      <w:r>
        <w:rPr>
          <w:rFonts w:ascii="Times New Roman" w:hAnsi="Times New Roman"/>
          <w:sz w:val="20"/>
        </w:rPr>
        <w:t xml:space="preserve">The Support Party (a) has no Individual Backstop Commitment and no Backstop Percentage, (b) is not obligated to purchase any Unsubscribed Shares or otherwise participate in the Backstop Exchange, and (c) is not subject to, and makes none of, the representations, warranties, covenants, agreements or other obligations applicable to Backstop Parties or to the Parties generally under the Agreement, in each case except as expressly set forth in this Limited Joinder. Schedule A to the Agreement shall not be amended to reflect any Individual Backstop Commitment or Backstop Percentage for the Support Party by reason of this Limited Joinder.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Transfer Restrictions</w:t>
      </w:r>
      <w:r>
        <w:rPr>
          <w:rFonts w:ascii="Times New Roman" w:hAnsi="Times New Roman"/>
          <w:sz w:val="20"/>
        </w:rPr>
        <w:t xml:space="preserve">. The Support Party, in its capacity as a holder of 2030 Notes, hereby agrees to be bound by, and to comply with, the transfer restrictions set forth in Section 5(c) of the Agreement to the same extent and with the same effect as if the Support Party were a Backstop Party thereunder. Any Transfer or purported Transfer of such 2030 Notes in violation of Section 5(c) of the Agreement shall be null and void ab initio.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Subsequent Backstop Commitment. </w:t>
      </w:r>
      <w:r>
        <w:rPr>
          <w:rFonts w:ascii="Times New Roman" w:hAnsi="Times New Roman"/>
          <w:sz w:val="20"/>
        </w:rPr>
        <w:t xml:space="preserve">If, at any time after the Joinder Effective Date, the Support Party is allocated or assigned any portion of an Individual Backstop Commitment pursuant to Section 5(c)(v) of the Agreement, then, upon written notice to the Company (email being sufficient), the Support Party shall automatically, and without further action, become a Backstop Party solely with respect to, and to the extent of, such Individual Backstop Commitment, and shall thereupon be bound by, and be entitled to the rights and benefits of, all of the terms,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representations, warranties, covenants, agreements and obligations applicable to a Backstop Party under the Agreement, in each case solely with respect to such Individual Backstop Commitment. Upon the effectiveness thereof, Schedule A to the Agreement shall be deemed amended to reflect the Support Party as a Backstop Party and its Individual Backstop Commitment and Backstop Percentage.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Representations and Warranties. </w:t>
      </w:r>
      <w:r>
        <w:rPr>
          <w:rFonts w:ascii="Times New Roman" w:hAnsi="Times New Roman"/>
          <w:sz w:val="20"/>
        </w:rPr>
        <w:t xml:space="preserve">The Support Party represents and warrants, as of the Joinder Effective Date, that (a) it is duly organized, validly existing and in good standing under the laws of its jurisdiction of organization, (b) it has all requisite power and authority to execute, deliver and perform this Limited Joinder, and (c) this Limited Joinder has been duly authorized, executed and delivered by it and constitutes its legal, valid and binding obligation, enforceable against it in accordance with its terms, subject to applicable bankruptcy, insolvency, reorganization, moratorium or similar laws affecting creditors’ rights generally and to general principles of equity.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 xml:space="preserve">Miscellaneous. </w:t>
      </w:r>
      <w:r>
        <w:rPr>
          <w:rFonts w:ascii="Times New Roman" w:hAnsi="Times New Roman"/>
          <w:sz w:val="20"/>
        </w:rPr>
        <w:t xml:space="preserve">The provisions of the Agreement (including those relating to governing law, jurisdiction, waiver of jury trial, counterparts, amendments and notices) are incorporated herein by reference and shall apply to this Limited Joinder mutatis mutandis. This Limited Joinder shall be governed by, and construed in accordance with, the laws of the State of New York, regardless of the laws that might otherwise govern under applicable principles of conflicts of laws thereof. Except as expressly set forth herein, the Agreement remains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Limited Joinder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45"/>
        <w:gridCol w:w="174"/>
        <w:gridCol w:w="2963"/>
      </w:tblGrid>
      <w:tr>
        <w:trPr/>
        <w:tc>
          <w:tcPr>
            <w:tcW w:w="94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[SUPPORT PARTY]</w:t>
            </w:r>
          </w:p>
        </w:tc>
      </w:tr>
      <w:tr>
        <w:trPr>
          <w:trHeight w:val="240" w:hRule="atLeast"/>
        </w:trPr>
        <w:tc>
          <w:tcPr>
            <w:tcW w:w="945" w:type="dxa"/>
            <w:tcBorders/>
            <w:vAlign w:val="center"/>
          </w:tcPr>
          <w:p>
            <w:pPr>
              <w:pStyle w:val="TableContents"/>
              <w:bidi w:val="0"/>
              <w:spacing w:before="0" w:after="283"/>
              <w:jc w:val="left"/>
              <w:rPr>
                <w:sz w:val="4"/>
                <w:szCs w:val="4"/>
              </w:rPr>
            </w:pPr>
            <w:r>
              <w:rPr>
                <w:sz w:val="4"/>
                <w:szCs w:val="4"/>
              </w:rPr>
            </w:r>
          </w:p>
        </w:tc>
        <w:tc>
          <w:tcPr>
            <w:tcW w:w="3137" w:type="dxa"/>
            <w:gridSpan w:val="2"/>
            <w:tcBorders/>
            <w:vAlign w:val="center"/>
          </w:tcPr>
          <w:p>
            <w:pPr>
              <w:pStyle w:val="TableContents"/>
              <w:bidi w:val="0"/>
              <w:spacing w:before="0" w:after="283"/>
              <w:jc w:val="left"/>
              <w:rPr>
                <w:sz w:val="4"/>
                <w:szCs w:val="4"/>
              </w:rPr>
            </w:pPr>
            <w:r>
              <w:rPr>
                <w:sz w:val="4"/>
                <w:szCs w:val="4"/>
              </w:rPr>
            </w:r>
          </w:p>
        </w:tc>
      </w:tr>
      <w:tr>
        <w:trPr/>
        <w:tc>
          <w:tcPr>
            <w:tcW w:w="945" w:type="dxa"/>
            <w:tcBorders/>
          </w:tcPr>
          <w:p>
            <w:pPr>
              <w:pStyle w:val="TableContents"/>
              <w:bidi w:val="0"/>
              <w:spacing w:before="0" w:after="283"/>
              <w:jc w:val="left"/>
              <w:rPr/>
            </w:pPr>
            <w:r>
              <w:rPr/>
              <w:t>By:</w:t>
            </w:r>
          </w:p>
        </w:tc>
        <w:tc>
          <w:tcPr>
            <w:tcW w:w="174" w:type="dxa"/>
            <w:tcBorders/>
            <w:vAlign w:val="bottom"/>
          </w:tcPr>
          <w:p>
            <w:pPr>
              <w:pStyle w:val="TableContents"/>
              <w:bidi w:val="0"/>
              <w:spacing w:before="0" w:after="283"/>
              <w:jc w:val="left"/>
              <w:rPr/>
            </w:pPr>
            <w:r>
              <w:rPr/>
              <w:t> </w:t>
            </w:r>
          </w:p>
        </w:tc>
        <w:tc>
          <w:tcPr>
            <w:tcW w:w="296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Address:</w:t>
            </w:r>
          </w:p>
        </w:tc>
      </w:tr>
      <w:tr>
        <w:trPr/>
        <w:tc>
          <w:tcPr>
            <w:tcW w:w="4082" w:type="dxa"/>
            <w:gridSpan w:val="3"/>
            <w:tcBorders/>
          </w:tcPr>
          <w:p>
            <w:pPr>
              <w:pStyle w:val="TableContents"/>
              <w:bidi w:val="0"/>
              <w:spacing w:before="0" w:after="283"/>
              <w:jc w:val="left"/>
              <w:rPr/>
            </w:pPr>
            <w:r>
              <w:rPr/>
              <w:t>[]</w:t>
            </w:r>
          </w:p>
        </w:tc>
      </w:tr>
      <w:tr>
        <w:trPr/>
        <w:tc>
          <w:tcPr>
            <w:tcW w:w="4082" w:type="dxa"/>
            <w:gridSpan w:val="3"/>
            <w:tcBorders/>
          </w:tcPr>
          <w:p>
            <w:pPr>
              <w:pStyle w:val="TableContents"/>
              <w:bidi w:val="0"/>
              <w:spacing w:before="0" w:after="283"/>
              <w:jc w:val="left"/>
              <w:rPr/>
            </w:pPr>
            <w:r>
              <w:rPr/>
              <w:t>Attention: []</w:t>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Support Party will submit a consent to entry into the A&amp;R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Backstop Party Backstop Commitment Allocation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61"/>
        <w:gridCol w:w="150"/>
        <w:gridCol w:w="368"/>
        <w:gridCol w:w="1790"/>
        <w:gridCol w:w="320"/>
        <w:gridCol w:w="91"/>
        <w:gridCol w:w="1061"/>
        <w:gridCol w:w="2201"/>
        <w:gridCol w:w="63"/>
      </w:tblGrid>
      <w:tr>
        <w:trPr/>
        <w:tc>
          <w:tcPr>
            <w:tcW w:w="4161"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Backstop Party</w:t>
            </w:r>
          </w:p>
        </w:tc>
        <w:tc>
          <w:tcPr>
            <w:tcW w:w="150" w:type="dxa"/>
            <w:tcBorders/>
            <w:vAlign w:val="bottom"/>
          </w:tcPr>
          <w:p>
            <w:pPr>
              <w:pStyle w:val="TableContents"/>
              <w:bidi w:val="0"/>
              <w:spacing w:before="0" w:after="283"/>
              <w:jc w:val="left"/>
              <w:rPr/>
            </w:pPr>
            <w:r>
              <w:rPr/>
              <w:t>  </w:t>
            </w:r>
          </w:p>
        </w:tc>
        <w:tc>
          <w:tcPr>
            <w:tcW w:w="2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Backstop Percentage</w:t>
            </w:r>
          </w:p>
        </w:tc>
        <w:tc>
          <w:tcPr>
            <w:tcW w:w="3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3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Backstop Commitment Amount</w:t>
            </w:r>
          </w:p>
        </w:tc>
        <w:tc>
          <w:tcPr>
            <w:tcW w:w="63" w:type="dxa"/>
            <w:tcBorders/>
            <w:vAlign w:val="bottom"/>
          </w:tcPr>
          <w:p>
            <w:pPr>
              <w:pStyle w:val="TableContents"/>
              <w:bidi w:val="0"/>
              <w:spacing w:before="0" w:after="283"/>
              <w:jc w:val="left"/>
              <w:rPr/>
            </w:pPr>
            <w:r>
              <w:rPr/>
              <w:t> </w:t>
            </w:r>
          </w:p>
        </w:tc>
      </w:tr>
      <w:tr>
        <w:trPr/>
        <w:tc>
          <w:tcPr>
            <w:tcW w:w="4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Cross Ocean Partners Management LP, on behalf of certain of its respective advised funds</w:t>
            </w:r>
          </w:p>
        </w:tc>
        <w:tc>
          <w:tcPr>
            <w:tcW w:w="15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w:t>
            </w:r>
          </w:p>
        </w:tc>
        <w:tc>
          <w:tcPr>
            <w:tcW w:w="220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161" w:type="dxa"/>
            <w:tcBorders/>
          </w:tcPr>
          <w:p>
            <w:pPr>
              <w:pStyle w:val="TableContents"/>
              <w:bidi w:val="0"/>
              <w:spacing w:before="0" w:after="0"/>
              <w:jc w:val="left"/>
              <w:rPr>
                <w:rFonts w:ascii="Times New Roman" w:hAnsi="Times New Roman"/>
                <w:sz w:val="20"/>
              </w:rPr>
            </w:pPr>
            <w:r>
              <w:rPr>
                <w:rFonts w:ascii="Times New Roman" w:hAnsi="Times New Roman"/>
                <w:sz w:val="20"/>
              </w:rPr>
              <w:t>Whitebox Advisors LLC, on behalf of certain of its respective advised funds</w:t>
            </w:r>
          </w:p>
        </w:tc>
        <w:tc>
          <w:tcPr>
            <w:tcW w:w="15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w:t>
            </w:r>
          </w:p>
        </w:tc>
        <w:tc>
          <w:tcPr>
            <w:tcW w:w="2201"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Algebris (UK) Limited, Acting Solely as Agent on Behalf of Algebris UCITS Funds PLC – Algebris Global Credit Opportunities Fund</w:t>
            </w:r>
          </w:p>
        </w:tc>
        <w:tc>
          <w:tcPr>
            <w:tcW w:w="15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w:t>
            </w:r>
          </w:p>
        </w:tc>
        <w:tc>
          <w:tcPr>
            <w:tcW w:w="2201"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0"/>
              <w:jc w:val="left"/>
              <w:rPr/>
            </w:pPr>
            <w:r>
              <w:rPr/>
              <w:t> </w:t>
            </w:r>
          </w:p>
        </w:tc>
      </w:tr>
      <w:tr>
        <w:trPr/>
        <w:tc>
          <w:tcPr>
            <w:tcW w:w="4161" w:type="dxa"/>
            <w:tcBorders/>
          </w:tcPr>
          <w:p>
            <w:pPr>
              <w:pStyle w:val="TableContents"/>
              <w:bidi w:val="0"/>
              <w:spacing w:before="0" w:after="0"/>
              <w:jc w:val="left"/>
              <w:rPr>
                <w:rFonts w:ascii="Times New Roman" w:hAnsi="Times New Roman"/>
                <w:sz w:val="20"/>
              </w:rPr>
            </w:pPr>
            <w:r>
              <w:rPr>
                <w:rFonts w:ascii="Times New Roman" w:hAnsi="Times New Roman"/>
                <w:sz w:val="20"/>
              </w:rPr>
              <w:t>Amzak Capital Management LLC</w:t>
            </w:r>
          </w:p>
        </w:tc>
        <w:tc>
          <w:tcPr>
            <w:tcW w:w="15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w:t>
            </w:r>
          </w:p>
        </w:tc>
        <w:tc>
          <w:tcPr>
            <w:tcW w:w="2201"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Strategic Income Mother Fund</w:t>
            </w:r>
          </w:p>
        </w:tc>
        <w:tc>
          <w:tcPr>
            <w:tcW w:w="15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w:t>
            </w:r>
          </w:p>
        </w:tc>
        <w:tc>
          <w:tcPr>
            <w:tcW w:w="220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161" w:type="dxa"/>
            <w:tcBorders/>
          </w:tcPr>
          <w:p>
            <w:pPr>
              <w:pStyle w:val="TableContents"/>
              <w:bidi w:val="0"/>
              <w:spacing w:before="0" w:after="0"/>
              <w:jc w:val="left"/>
              <w:rPr>
                <w:rFonts w:ascii="Times New Roman" w:hAnsi="Times New Roman"/>
                <w:sz w:val="20"/>
              </w:rPr>
            </w:pPr>
            <w:r>
              <w:rPr>
                <w:rFonts w:ascii="Times New Roman" w:hAnsi="Times New Roman"/>
                <w:sz w:val="20"/>
              </w:rPr>
              <w:t>Fidelity Central Investment Portfolios LLC: Fidelity High Income Central Fund</w:t>
            </w:r>
          </w:p>
        </w:tc>
        <w:tc>
          <w:tcPr>
            <w:tcW w:w="15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w:t>
            </w:r>
          </w:p>
        </w:tc>
        <w:tc>
          <w:tcPr>
            <w:tcW w:w="2201"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American High Yield Fund</w:t>
            </w:r>
          </w:p>
        </w:tc>
        <w:tc>
          <w:tcPr>
            <w:tcW w:w="15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w:t>
            </w:r>
          </w:p>
        </w:tc>
        <w:tc>
          <w:tcPr>
            <w:tcW w:w="220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161" w:type="dxa"/>
            <w:tcBorders/>
          </w:tcPr>
          <w:p>
            <w:pPr>
              <w:pStyle w:val="TableContents"/>
              <w:bidi w:val="0"/>
              <w:spacing w:before="0" w:after="0"/>
              <w:jc w:val="left"/>
              <w:rPr>
                <w:rFonts w:ascii="Times New Roman" w:hAnsi="Times New Roman"/>
                <w:sz w:val="20"/>
              </w:rPr>
            </w:pPr>
            <w:r>
              <w:rPr>
                <w:rFonts w:ascii="Times New Roman" w:hAnsi="Times New Roman"/>
                <w:sz w:val="20"/>
              </w:rPr>
              <w:t>Master Trust Bank of Japan Ltd. re: Fidelity US High Yield Open Mother Fund</w:t>
            </w:r>
          </w:p>
        </w:tc>
        <w:tc>
          <w:tcPr>
            <w:tcW w:w="15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w:t>
            </w:r>
          </w:p>
        </w:tc>
        <w:tc>
          <w:tcPr>
            <w:tcW w:w="2201"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U.S. High Yield Institutional Trust</w:t>
            </w:r>
          </w:p>
        </w:tc>
        <w:tc>
          <w:tcPr>
            <w:tcW w:w="15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w:t>
            </w:r>
          </w:p>
        </w:tc>
        <w:tc>
          <w:tcPr>
            <w:tcW w:w="220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161" w:type="dxa"/>
            <w:tcBorders/>
          </w:tcPr>
          <w:p>
            <w:pPr>
              <w:pStyle w:val="TableContents"/>
              <w:bidi w:val="0"/>
              <w:spacing w:before="0" w:after="0"/>
              <w:jc w:val="left"/>
              <w:rPr>
                <w:rFonts w:ascii="Times New Roman" w:hAnsi="Times New Roman"/>
                <w:sz w:val="20"/>
              </w:rPr>
            </w:pPr>
            <w:r>
              <w:rPr>
                <w:rFonts w:ascii="Times New Roman" w:hAnsi="Times New Roman"/>
                <w:sz w:val="20"/>
              </w:rPr>
              <w:t>Fidelity American High Yield Multi-Asset Base Fund</w:t>
            </w:r>
          </w:p>
        </w:tc>
        <w:tc>
          <w:tcPr>
            <w:tcW w:w="15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w:t>
            </w:r>
          </w:p>
        </w:tc>
        <w:tc>
          <w:tcPr>
            <w:tcW w:w="2201"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Concise Short Term High Yield Master Fund, SPC</w:t>
            </w:r>
          </w:p>
        </w:tc>
        <w:tc>
          <w:tcPr>
            <w:tcW w:w="15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w:t>
            </w:r>
          </w:p>
        </w:tc>
        <w:tc>
          <w:tcPr>
            <w:tcW w:w="220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161" w:type="dxa"/>
            <w:tcBorders/>
          </w:tcPr>
          <w:p>
            <w:pPr>
              <w:pStyle w:val="TableContents"/>
              <w:bidi w:val="0"/>
              <w:spacing w:before="0" w:after="0"/>
              <w:jc w:val="left"/>
              <w:rPr>
                <w:rFonts w:ascii="Times New Roman" w:hAnsi="Times New Roman"/>
                <w:sz w:val="20"/>
              </w:rPr>
            </w:pPr>
            <w:r>
              <w:rPr>
                <w:rFonts w:ascii="Times New Roman" w:hAnsi="Times New Roman"/>
                <w:sz w:val="20"/>
              </w:rPr>
              <w:t>Mercer QIF Fund PLC - Mercer Investment Fund 1</w:t>
            </w:r>
          </w:p>
        </w:tc>
        <w:tc>
          <w:tcPr>
            <w:tcW w:w="15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w:t>
            </w:r>
          </w:p>
        </w:tc>
        <w:tc>
          <w:tcPr>
            <w:tcW w:w="2201"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Concise Short Term High Yield Fund</w:t>
            </w:r>
          </w:p>
        </w:tc>
        <w:tc>
          <w:tcPr>
            <w:tcW w:w="15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w:t>
            </w:r>
          </w:p>
        </w:tc>
        <w:tc>
          <w:tcPr>
            <w:tcW w:w="220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161" w:type="dxa"/>
            <w:tcBorders/>
          </w:tcPr>
          <w:p>
            <w:pPr>
              <w:pStyle w:val="TableContents"/>
              <w:bidi w:val="0"/>
              <w:spacing w:before="0" w:after="0"/>
              <w:jc w:val="left"/>
              <w:rPr>
                <w:rFonts w:ascii="Times New Roman" w:hAnsi="Times New Roman"/>
                <w:sz w:val="20"/>
              </w:rPr>
            </w:pPr>
            <w:r>
              <w:rPr>
                <w:rFonts w:ascii="Times New Roman" w:hAnsi="Times New Roman"/>
                <w:sz w:val="20"/>
              </w:rPr>
              <w:t>Cardinal Insurance LLC</w:t>
            </w:r>
          </w:p>
        </w:tc>
        <w:tc>
          <w:tcPr>
            <w:tcW w:w="15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left"/>
              <w:rPr/>
            </w:pPr>
            <w:r>
              <w:rPr/>
              <w:t>$</w:t>
            </w:r>
          </w:p>
        </w:tc>
        <w:tc>
          <w:tcPr>
            <w:tcW w:w="2201"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Restoration Risk Retention Group LLC</w:t>
            </w:r>
          </w:p>
        </w:tc>
        <w:tc>
          <w:tcPr>
            <w:tcW w:w="15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w:t>
            </w:r>
          </w:p>
        </w:tc>
        <w:tc>
          <w:tcPr>
            <w:tcW w:w="2201"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98"/>
        <w:gridCol w:w="159"/>
        <w:gridCol w:w="60"/>
        <w:gridCol w:w="1736"/>
        <w:gridCol w:w="320"/>
        <w:gridCol w:w="101"/>
        <w:gridCol w:w="140"/>
        <w:gridCol w:w="2527"/>
        <w:gridCol w:w="64"/>
      </w:tblGrid>
      <w:tr>
        <w:trPr/>
        <w:tc>
          <w:tcPr>
            <w:tcW w:w="5098"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Meteora Select Trading Opportunities Master, LP</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      </w:t>
            </w:r>
            <w:r>
              <w:rPr/>
              <w:t>[*]</w:t>
            </w:r>
          </w:p>
        </w:tc>
        <w:tc>
          <w:tcPr>
            <w:tcW w:w="3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527" w:type="dxa"/>
            <w:tcBorders/>
            <w:shd w:fill="CCEEFF" w:val="clear"/>
            <w:vAlign w:val="bottom"/>
          </w:tcPr>
          <w:p>
            <w:pPr>
              <w:pStyle w:val="TableContents"/>
              <w:bidi w:val="0"/>
              <w:spacing w:before="0" w:after="283"/>
              <w:jc w:val="right"/>
              <w:rPr/>
            </w:pPr>
            <w:r>
              <w:rPr/>
              <w:t>          </w:t>
            </w:r>
            <w:r>
              <w:rPr/>
              <w:t>[*]</w:t>
            </w:r>
          </w:p>
        </w:tc>
        <w:tc>
          <w:tcPr>
            <w:tcW w:w="64"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Boothbay Absolute Return Strategies, LP</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527"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L. Cohen Revocable Trust</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527"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David L. Cohen Colorado QPRT</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527"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Peak View Charitable Foundation</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527"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DK Strategic YLD US GP</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527"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Deans Knight Income Fund</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527"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Chicago Title Insurance Company</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527"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Newport Global Credit Fund (Master) LP</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pPr>
            <w:r>
              <w:rPr/>
              <w:t>[*]</w:t>
            </w:r>
          </w:p>
        </w:tc>
        <w:tc>
          <w:tcPr>
            <w:tcW w:w="3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2527"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Windermere Investment Corporation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right"/>
              <w:rPr/>
            </w:pPr>
            <w:r>
              <w:rPr/>
              <w:t>[*]</w:t>
            </w:r>
          </w:p>
        </w:tc>
        <w:tc>
          <w:tcPr>
            <w:tcW w:w="3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527"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509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3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52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2527" w:type="dxa"/>
            <w:tcBorders/>
            <w:shd w:fill="CCEEFF" w:val="clear"/>
            <w:vAlign w:val="bottom"/>
          </w:tcPr>
          <w:p>
            <w:pPr>
              <w:pStyle w:val="TableContents"/>
              <w:bidi w:val="0"/>
              <w:spacing w:before="0" w:after="283"/>
              <w:jc w:val="right"/>
              <w:rPr>
                <w:b/>
              </w:rPr>
            </w:pPr>
            <w:r>
              <w:rPr>
                <w:b/>
              </w:rPr>
              <w:t>94,000,000</w:t>
            </w:r>
          </w:p>
        </w:tc>
        <w:tc>
          <w:tcPr>
            <w:tcW w:w="64" w:type="dxa"/>
            <w:tcBorders/>
            <w:shd w:fill="CCEEFF" w:val="clear"/>
            <w:vAlign w:val="bottom"/>
          </w:tcPr>
          <w:p>
            <w:pPr>
              <w:pStyle w:val="TableContents"/>
              <w:bidi w:val="0"/>
              <w:spacing w:before="0" w:after="283"/>
              <w:jc w:val="left"/>
              <w:rPr/>
            </w:pPr>
            <w:r>
              <w:rPr/>
              <w:t> </w:t>
            </w:r>
          </w:p>
        </w:tc>
      </w:tr>
      <w:tr>
        <w:trPr/>
        <w:tc>
          <w:tcPr>
            <w:tcW w:w="509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36"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52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LIMITED JOINDER AGREEMENT </w:t>
      </w:r>
    </w:p>
    <w:p>
      <w:pPr>
        <w:pStyle w:val="TextBody"/>
        <w:bidi w:val="0"/>
        <w:spacing w:before="240" w:after="0"/>
        <w:jc w:val="left"/>
        <w:rPr>
          <w:rFonts w:ascii="Times New Roman" w:hAnsi="Times New Roman"/>
          <w:sz w:val="20"/>
        </w:rPr>
      </w:pPr>
      <w:r>
        <w:rPr>
          <w:rFonts w:ascii="Times New Roman" w:hAnsi="Times New Roman"/>
          <w:sz w:val="20"/>
        </w:rPr>
        <w:t>This Limited Joinder Agreement (this “</w:t>
      </w:r>
      <w:r>
        <w:rPr>
          <w:rFonts w:ascii="Times New Roman" w:hAnsi="Times New Roman"/>
          <w:sz w:val="20"/>
          <w:u w:val="single"/>
        </w:rPr>
        <w:t>Limited Joinder</w:t>
      </w:r>
      <w:r>
        <w:rPr>
          <w:rFonts w:ascii="Times New Roman" w:hAnsi="Times New Roman"/>
          <w:sz w:val="20"/>
        </w:rPr>
        <w:t xml:space="preserve">”) is executed and delivered as of August 6, 2026 by the undersigned (the </w:t>
      </w:r>
      <w:r>
        <w:rPr>
          <w:rFonts w:ascii="Times New Roman" w:hAnsi="Times New Roman"/>
          <w:sz w:val="20"/>
          <w:u w:val="single"/>
        </w:rPr>
        <w:t>“Support Party”</w:t>
      </w:r>
      <w:r>
        <w:rPr>
          <w:rFonts w:ascii="Times New Roman" w:hAnsi="Times New Roman"/>
          <w:sz w:val="20"/>
        </w:rPr>
        <w:t>) in connection with that certain Rights Offering Backstop Agreement, dated as of August 6, 2026 (as amended, restated, supplemented or otherwise modified from time to time, the “</w:t>
      </w:r>
      <w:r>
        <w:rPr>
          <w:rFonts w:ascii="Times New Roman" w:hAnsi="Times New Roman"/>
          <w:sz w:val="20"/>
          <w:u w:val="single"/>
        </w:rPr>
        <w:t>Agreement</w:t>
      </w:r>
      <w:r>
        <w:rPr>
          <w:rFonts w:ascii="Times New Roman" w:hAnsi="Times New Roman"/>
          <w:sz w:val="20"/>
        </w:rPr>
        <w:t>”), by and among KLX Energy Services Holdings, Inc., a Delaware corporation (the “</w:t>
      </w:r>
      <w:r>
        <w:rPr>
          <w:rFonts w:ascii="Times New Roman" w:hAnsi="Times New Roman"/>
          <w:sz w:val="20"/>
          <w:u w:val="single"/>
        </w:rPr>
        <w:t>Company</w:t>
      </w:r>
      <w:r>
        <w:rPr>
          <w:rFonts w:ascii="Times New Roman" w:hAnsi="Times New Roman"/>
          <w:sz w:val="20"/>
        </w:rPr>
        <w:t xml:space="preserve">”), and the Backstop Parties party thereto. Capitalized terms used but not otherwise defined herein have the meanings given to them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Support Party hereby agrees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 xml:space="preserve">Joinder as Support Party. </w:t>
      </w:r>
      <w:r>
        <w:rPr>
          <w:rFonts w:ascii="Times New Roman" w:hAnsi="Times New Roman"/>
          <w:sz w:val="20"/>
        </w:rPr>
        <w:t>Effective as of the date first written above (the “</w:t>
      </w:r>
      <w:r>
        <w:rPr>
          <w:rFonts w:ascii="Times New Roman" w:hAnsi="Times New Roman"/>
          <w:sz w:val="20"/>
          <w:u w:val="single"/>
        </w:rPr>
        <w:t>Joinder</w:t>
      </w:r>
      <w:r>
        <w:rPr>
          <w:rFonts w:ascii="Times New Roman" w:hAnsi="Times New Roman"/>
          <w:sz w:val="20"/>
        </w:rPr>
        <w:t xml:space="preserve"> </w:t>
      </w:r>
      <w:r>
        <w:rPr>
          <w:rFonts w:ascii="Times New Roman" w:hAnsi="Times New Roman"/>
          <w:sz w:val="20"/>
          <w:u w:val="single"/>
        </w:rPr>
        <w:t>Effective Date</w:t>
      </w:r>
      <w:r>
        <w:rPr>
          <w:rFonts w:ascii="Times New Roman" w:hAnsi="Times New Roman"/>
          <w:sz w:val="20"/>
        </w:rPr>
        <w:t xml:space="preserve">”), the Support Party hereby becomes a party to the Agreement solely as a Support Party and not as a Backstop Party. The Support Party joins the Agreement for the sole purpose set forth in Section 2 below and shall not, by virtue of this Limited Joinder, be deemed a Backstop Party for any purpose under the Agreement, except for Sections 2 and 4 of this Limited Joinder.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 xml:space="preserve">Consent to A&amp;R Indenture. </w:t>
      </w:r>
      <w:r>
        <w:rPr>
          <w:rFonts w:ascii="Times New Roman" w:hAnsi="Times New Roman"/>
          <w:sz w:val="20"/>
        </w:rPr>
        <w:t xml:space="preserve">The Support Party, in its capacity as a holder of 2030 Notes, hereby consents to the entry of the A&amp;R Indenture, and agrees to deliver such consents, certifications and other documentation as are contemplated by the Agreement to be delivered by a holder of 2030 Notes pursuant to Section 4(b)(v) of the Agreement in connection with the entry into the A&amp;R Indenture.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 xml:space="preserve">No Backstop Commitment; No Backstop Party Obligations. </w:t>
      </w:r>
      <w:r>
        <w:rPr>
          <w:rFonts w:ascii="Times New Roman" w:hAnsi="Times New Roman"/>
          <w:sz w:val="20"/>
        </w:rPr>
        <w:t xml:space="preserve">The Support Party (a) has no Individual Backstop Commitment and no Backstop Percentage, (b) is not obligated to purchase any Unsubscribed Shares or otherwise participate in the Backstop Exchange, and (c) is not subject to, and makes none of, the representations, warranties, covenants, agreements or other obligations applicable to Backstop Parties or to the Parties generally under the Agreement, in each case except as expressly set forth in this Limited Joinder. Schedule A to the Agreement shall not be amended to reflect any Individual Backstop Commitment or Backstop Percentage for the Support Party by reason of this Limited Joinder.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Transfer Restrictions</w:t>
      </w:r>
      <w:r>
        <w:rPr>
          <w:rFonts w:ascii="Times New Roman" w:hAnsi="Times New Roman"/>
          <w:sz w:val="20"/>
        </w:rPr>
        <w:t xml:space="preserve">. The Support Party, in its capacity as a holder of 2030 Notes, hereby agrees to be bound by, and to comply with, the transfer restrictions set forth in Section 5(c) of the Agreement to the same extent and with the same effect as if the Support Party were a Backstop Party thereunder. Any Transfer or purported Transfer of such 2030 Notes in violation of Section 5(c) of the Agreement shall be null and void ab initio.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 xml:space="preserve">Subsequent Backstop Commitment. </w:t>
      </w:r>
      <w:r>
        <w:rPr>
          <w:rFonts w:ascii="Times New Roman" w:hAnsi="Times New Roman"/>
          <w:sz w:val="20"/>
        </w:rPr>
        <w:t xml:space="preserve">If, at any time after the Joinder Effective Date, the Support Party is allocated or assigned any portion of an Individual Backstop Commitment pursuant to Section 5(c)(v) of the Agreement, then, upon written notice to the Company (email being sufficient), the Support Party shall automatically, and without further action, become a Backstop Party solely with respect to, and to the extent of, such Individual Backstop Commitment, and shall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thereupon be bound by, and be entitled to the rights and benefits of, all of the terms, conditions, representations, warranties, covenants, agreements and obligations applicable to a Backstop Party under the Agreement, in each case solely with respect to such Individual Backstop Commitment. Upon the effectiveness thereof, Schedule A to the Agreement shall be deemed amended to reflect the Support Party as a Backstop Party and its Individual Backstop Commitment and Backstop Percentage.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Representations and Warranties. </w:t>
      </w:r>
      <w:r>
        <w:rPr>
          <w:rFonts w:ascii="Times New Roman" w:hAnsi="Times New Roman"/>
          <w:sz w:val="20"/>
        </w:rPr>
        <w:t xml:space="preserve">The Support Party represents and warrants, as of the Joinder Effective Date, that (a) it is duly organized, validly existing and in good standing under the laws of its jurisdiction of organization, (b) it has all requisite power and authority to execute, deliver and perform this Limited Joinder, and (c) this Limited Joinder has been duly authorized, executed and delivered by it and constitutes its legal, valid and binding obligation, enforceable against it in accordance with its terms, subject to applicable bankruptcy, insolvency, reorganization, moratorium or similar laws affecting creditors’ rights generally and to general principles of equity.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 xml:space="preserve">Miscellaneous. </w:t>
      </w:r>
      <w:r>
        <w:rPr>
          <w:rFonts w:ascii="Times New Roman" w:hAnsi="Times New Roman"/>
          <w:sz w:val="20"/>
        </w:rPr>
        <w:t xml:space="preserve">The provisions of the Agreement (including those relating to governing law, jurisdiction, waiver of jury trial, counterparts, amendments and notices) are incorporated herein by reference and shall apply to this Limited Joinder mutatis mutandis. This Limited Joinder shall be governed by, and construed in accordance with, the laws of the State of New York, regardless of the laws that might otherwise govern under applicable principles of conflicts of laws thereof. Except as expressly set forth herein, the Agreement remains in full force and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Limited Joinder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61"/>
        <w:gridCol w:w="182"/>
        <w:gridCol w:w="2439"/>
      </w:tblGrid>
      <w:tr>
        <w:trPr/>
        <w:tc>
          <w:tcPr>
            <w:tcW w:w="1461"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Advisor Series I:</w:t>
            </w:r>
          </w:p>
        </w:tc>
      </w:tr>
      <w:tr>
        <w:trPr/>
        <w:tc>
          <w:tcPr>
            <w:tcW w:w="4082" w:type="dxa"/>
            <w:gridSpan w:val="3"/>
            <w:tcBorders/>
          </w:tcPr>
          <w:p>
            <w:pPr>
              <w:pStyle w:val="TableContents"/>
              <w:bidi w:val="0"/>
              <w:spacing w:before="0" w:after="283"/>
              <w:jc w:val="left"/>
              <w:rPr>
                <w:b/>
              </w:rPr>
            </w:pPr>
            <w:r>
              <w:rPr>
                <w:b/>
              </w:rPr>
              <w:t>Fidelity Advisor Capital &amp; Income Fund</w:t>
            </w:r>
          </w:p>
        </w:tc>
      </w:tr>
      <w:tr>
        <w:trPr>
          <w:trHeight w:val="240" w:hRule="atLeast"/>
        </w:trPr>
        <w:tc>
          <w:tcPr>
            <w:tcW w:w="1461" w:type="dxa"/>
            <w:tcBorders/>
            <w:vAlign w:val="center"/>
          </w:tcPr>
          <w:p>
            <w:pPr>
              <w:pStyle w:val="TableContents"/>
              <w:bidi w:val="0"/>
              <w:spacing w:before="0" w:after="283"/>
              <w:jc w:val="left"/>
              <w:rPr>
                <w:sz w:val="4"/>
                <w:szCs w:val="4"/>
              </w:rPr>
            </w:pPr>
            <w:r>
              <w:rPr>
                <w:sz w:val="4"/>
                <w:szCs w:val="4"/>
              </w:rPr>
            </w:r>
          </w:p>
        </w:tc>
        <w:tc>
          <w:tcPr>
            <w:tcW w:w="2621" w:type="dxa"/>
            <w:gridSpan w:val="2"/>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283"/>
              <w:jc w:val="left"/>
              <w:rPr/>
            </w:pPr>
            <w:r>
              <w:rPr/>
              <w:t>By:</w:t>
            </w:r>
          </w:p>
        </w:tc>
        <w:tc>
          <w:tcPr>
            <w:tcW w:w="182" w:type="dxa"/>
            <w:tcBorders/>
            <w:vAlign w:val="bottom"/>
          </w:tcPr>
          <w:p>
            <w:pPr>
              <w:pStyle w:val="TableContents"/>
              <w:bidi w:val="0"/>
              <w:spacing w:before="0" w:after="283"/>
              <w:jc w:val="left"/>
              <w:rPr/>
            </w:pPr>
            <w:r>
              <w:rPr/>
              <w:t> </w:t>
            </w:r>
          </w:p>
        </w:tc>
        <w:tc>
          <w:tcPr>
            <w:tcW w:w="243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 </w:t>
            </w:r>
          </w:p>
        </w:tc>
      </w:tr>
      <w:tr>
        <w:trPr/>
        <w:tc>
          <w:tcPr>
            <w:tcW w:w="4082" w:type="dxa"/>
            <w:gridSpan w:val="3"/>
            <w:tcBorders/>
          </w:tcPr>
          <w:p>
            <w:pPr>
              <w:pStyle w:val="TableContents"/>
              <w:bidi w:val="0"/>
              <w:spacing w:before="0" w:after="283"/>
              <w:jc w:val="left"/>
              <w:rPr/>
            </w:pPr>
            <w:r>
              <w:rPr/>
              <w:t xml:space="preserve">Name: [*] </w:t>
            </w:r>
          </w:p>
        </w:tc>
      </w:tr>
      <w:tr>
        <w:trPr/>
        <w:tc>
          <w:tcPr>
            <w:tcW w:w="4082" w:type="dxa"/>
            <w:gridSpan w:val="3"/>
            <w:tcBorders/>
          </w:tcPr>
          <w:p>
            <w:pPr>
              <w:pStyle w:val="TableContents"/>
              <w:bidi w:val="0"/>
              <w:spacing w:before="0" w:after="283"/>
              <w:jc w:val="left"/>
              <w:rPr/>
            </w:pPr>
            <w:r>
              <w:rPr/>
              <w:t xml:space="preserve">Title: [*] </w:t>
            </w:r>
          </w:p>
        </w:tc>
      </w:tr>
      <w:tr>
        <w:trPr/>
        <w:tc>
          <w:tcPr>
            <w:tcW w:w="4082" w:type="dxa"/>
            <w:gridSpan w:val="3"/>
            <w:tcBorders/>
          </w:tcPr>
          <w:p>
            <w:pPr>
              <w:pStyle w:val="TableContents"/>
              <w:bidi w:val="0"/>
              <w:spacing w:before="0" w:after="283"/>
              <w:jc w:val="left"/>
              <w:rPr/>
            </w:pPr>
            <w:r>
              <w:rPr/>
              <w:t>Fidelity ID: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Notice Address: [*] </w:t>
            </w:r>
          </w:p>
        </w:tc>
      </w:tr>
      <w:tr>
        <w:trPr/>
        <w:tc>
          <w:tcPr>
            <w:tcW w:w="4082" w:type="dxa"/>
            <w:gridSpan w:val="3"/>
            <w:tcBorders/>
          </w:tcPr>
          <w:p>
            <w:pPr>
              <w:pStyle w:val="TableContents"/>
              <w:bidi w:val="0"/>
              <w:spacing w:before="0" w:after="283"/>
              <w:jc w:val="left"/>
              <w:rPr/>
            </w:pPr>
            <w:r>
              <w:rPr/>
              <w:t xml:space="preserve">Attention: [*] </w:t>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Principal Amount of 2030 Notes in respect of which such Support Party will submit a consent to entry into the A&amp;R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 Agreement to the contrary, each above signed entity is executing this Agreement solely on behalf of the funds and accounts indicated on the corresponding Appendix listed in its signature block and only such funds and accounts shall be Parties hereunder and the obligations, covenants, representations, warranties and other provisions of this Agreement </w:t>
            </w:r>
            <w:r>
              <w:rPr>
                <w:rFonts w:ascii="Times New Roman" w:hAnsi="Times New Roman"/>
                <w:b/>
                <w:sz w:val="20"/>
              </w:rPr>
              <w:t xml:space="preserve">(including any schedules, exhibits and annexes thereto) </w:t>
            </w:r>
            <w:r>
              <w:rPr>
                <w:rFonts w:ascii="Times New Roman" w:hAnsi="Times New Roman"/>
                <w:sz w:val="20"/>
              </w:rPr>
              <w:t xml:space="preserve">shall only apply to such funds and accounts severally and not jointly and shall not apply to any investment advisor signing on behalf of any funds or accounts or any funds or accounts managed or advised by such investment advisor that are not listed on an Appendix hereto or other Affiliates of any above signed entity. Execution of this Agreement by the above signed entity shall not, and shall not be deemed to, bind or inure to the benefit of any other Affiliates of such entity. This signature page has been executed and delivered solely in reliance on the foregoing limitations* </w:t>
            </w:r>
          </w:p>
        </w:tc>
      </w:tr>
    </w:tbl>
    <w:p>
      <w:pPr>
        <w:pStyle w:val="TextBody"/>
        <w:bidi w:val="0"/>
        <w:spacing w:before="0" w:after="0"/>
        <w:jc w:val="right"/>
        <w:rPr>
          <w:rFonts w:ascii="Times New Roman" w:hAnsi="Times New Roman"/>
          <w:b/>
          <w:sz w:val="20"/>
        </w:rPr>
      </w:pPr>
      <w:bookmarkStart w:id="6" w:name="d286592dex991.htm"/>
      <w:bookmarkStart w:id="7" w:name="ksd286592dex991"/>
      <w:bookmarkEnd w:id="6"/>
      <w:bookmarkEnd w:id="7"/>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Announces $125 Million Rights Offering for Common Stock Backstopped For Up to $94 Million to Reduce Leverage </w:t>
      </w:r>
    </w:p>
    <w:p>
      <w:pPr>
        <w:pStyle w:val="TextBody"/>
        <w:bidi w:val="0"/>
        <w:spacing w:before="240" w:after="0"/>
        <w:jc w:val="left"/>
        <w:rPr>
          <w:rFonts w:ascii="Times New Roman" w:hAnsi="Times New Roman"/>
          <w:sz w:val="20"/>
        </w:rPr>
      </w:pPr>
      <w:r>
        <w:rPr>
          <w:rFonts w:ascii="Times New Roman" w:hAnsi="Times New Roman"/>
          <w:b/>
          <w:sz w:val="20"/>
        </w:rPr>
        <w:t>HOUSTON, TX – August</w:t>
      </w:r>
      <w:r>
        <w:rPr>
          <w:rFonts w:ascii="Times New Roman" w:hAnsi="Times New Roman"/>
          <w:sz w:val="20"/>
        </w:rPr>
        <w:t> </w:t>
      </w:r>
      <w:r>
        <w:rPr>
          <w:rFonts w:ascii="Times New Roman" w:hAnsi="Times New Roman"/>
          <w:b/>
          <w:sz w:val="20"/>
        </w:rPr>
        <w:t>10, 2026 - KLX Energy Services Holdings, Inc. (NASDAQ: KLXE)</w:t>
      </w:r>
      <w:r>
        <w:rPr>
          <w:rFonts w:ascii="Times New Roman" w:hAnsi="Times New Roman"/>
          <w:sz w:val="20"/>
        </w:rPr>
        <w:t xml:space="preserve"> (“KLX” or the “Company”) announced today that the Company’s Board of Directors has approved a $125 million backstopped rights offering (the “Rights Offering”) available to all holders of record of the Company’s common stock, par value $0.01 per share (“Common Stock”), as of 5:00 p.m., New York City time, on August 21, 2026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Rights Offering will be made through a distribution to all holders of record of Common Stock as of the Record Date of transferable subscription rights to purchase shares of Common Stock at a subscription price of $1.49 per share (the “Subscription Price”). Each holder of record of Common Stock as of the Record Date will receive one subscription right for each share of Common Stock owned (each, a “Right”). Each Right will entitle the holder to purchase 3.885 shares of Common Stock at the Subscription Price per share. The Company will not issue any fractional shares of Common Stock in the Rights Offering, and all exercises of subscription rights will be rounded down to the nearest whole share. In addition, the Company will not issue fractional subscription rights or pay cash in lieu of fractional subscription rights. The Rights Offering is currently expected to commence on August 24, 2026, and expire at 5:00 p.m., New York City time, on September 23, 2026 (the “Expiration Date”). The rights being issued in the offering are expected to be listed for trading on The Nasdaq Stock Market LLC under the symbol “KLXER” and therefore will be transferable. </w:t>
      </w:r>
    </w:p>
    <w:p>
      <w:pPr>
        <w:pStyle w:val="TextBody"/>
        <w:bidi w:val="0"/>
        <w:spacing w:before="240" w:after="0"/>
        <w:jc w:val="left"/>
        <w:rPr>
          <w:rFonts w:ascii="Times New Roman" w:hAnsi="Times New Roman"/>
          <w:sz w:val="20"/>
        </w:rPr>
      </w:pPr>
      <w:r>
        <w:rPr>
          <w:rFonts w:ascii="Times New Roman" w:hAnsi="Times New Roman"/>
          <w:sz w:val="20"/>
        </w:rPr>
        <w:t xml:space="preserve">The Rights Offering is backstopped by the existing holders (the “Backstop Parties”) of the Company’s Senior Secured Floating Rate Cash / PIK Notes due 2030 (the “2030 Notes”) in an aggregate backstop commitment amount of $94.0 million pursuant to a rights offering backstop agreement (the “Backstop Agreement”), with each individual Backstop Party subject to an aggregate 30% ownership limitation on a pro forma fully diluted basis. The backstop commitment may be increased up to $125.0 million if the Backstop Parties elect to increase their backstop commitment amounts prior to August 21, 2026. The Backstop Parties have committed to purchase, to the extent any shares of Common Stock remain unsubscribed following the exercise of any Rights and Over-Subscription Rights (as defined below) in the Rights Offering, their respective backstop commitment amounts through an exchange of their 2030 Notes (at 100% of the principal amount thereof plus accrued and unpaid interest) for shares of Common Stock at the Subscription Price (the “Backstop Exchange”). Upon completion of the Backstop Exchange, the outstanding principal amount of the 2030 Notes is expected to be reduced by $94.0 million as a result of the combination of par redemptions from any excess proceeds in the Rights Offering and the exchange of 2030 Notes for Common Stock in the Backstop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any net cash proceeds it receives in connection with the Rights Offering up to $31.0 million for general corporate purposes, and for any amounts over $31.0 million, the Company intends to repurchase 2030 Notes at par, which is permitted under the Backstop Agreement. For shares purchased by Backstop Parties pursuant to the Backstop Exchange, the Company will cancel a principal amount of such Backstop Party’s outstanding 2030 Notes equal to the applicable backstop commitment amount.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Backstop Exchange, the Company will enter into an amended and restated indenture governing the 2030 Notes (the “Amended and Restated Indenture”). The Amended and Restated Indenture provides the Company with additional operating and strategic flexibility and includes, among other things, the following benefits: (i) resets the total net leverage ratio maintenance covenant step-down schedule to provide additional runway to reduce leverage, (ii) relaxes the total net leverage ratio incurrence test for additional indebtedness from 2.50:1.00 to 3.00:1.00, (iii) permanently excludes capital lease obligations from the definition of “Indebtedness” for purposes of calculating financial maintenance covenant compliance, secured net leverage ratio, and any incurrence based test, ratio, or basket, (iv) increases the basket for indebtedness in respect of purchase money obligations and capital lease obligations from $75.0 million to $85.0 million, and (v) provides for par redemption of 2030 Notes in connection with the Backstop Exchange and excludes Rights Offering redemption proceeds from the excess cash flow sweep. In addition, the Amended and Restated Indenture resets the make-whole expiry date to two years from the effective date of the Amended and Restated Indenture and reduces the premium from 102% to 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Offering will include an over-subscription privilege to permit each rights holder that exercises its subscription rights in full to purchase additional shares of Common Stock (if any) that remain unsubscribed on the Expiration Date (the “Over-Subscription Right”). The availability of the over-subscription privilege will be subject to certain terms and restrictions to be set forth in the prospectus supplement, including that no holder will be entitled to exercise subscription rights (including any Over-Subscription Rights) in the Rights Offering to the extent such exercise would result in such holder, together with its affiliates and any persons acting in concert with such holder, beneficially owning more than 9.995% of the Company’s outstanding Common Stock on a pro forma basis after giving effect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The Rights Offering will be made pursuant to the Company’s existing effective shelf registration statement on Form S-3 (Reg. No. 333-295905) on file with the Securities and Exchange Commission (the “SEC”) and a prospectus supplement (and the accompanying base prospectus) to be filed with the SEC prior to the commencement of the Rights Offering. The Company reserves the right to extend, amend or terminate the planned Rights Offering, subject to certain conditions, at any time. The information herein is not complete and is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any of the subscription rights, Common Stock or any other securities, nor will there be any sale of the subscription rights, Common Stock or any other securities in any state or other jurisdiction in which such offer, solicitation or sale would be unlawful prior to registration or qualification under the securities laws of any such state or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Vinson &amp; Elkins LLP served as legal counsel to the Company in connection with the transactions described herein. Perella Weinberg Partners served as financial advisor to the Company in connection with the transactions described herein. White &amp; Case LLP served as legal counsel to the Backstop Parties in connection with the transactions described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About KLX Energy Services Holdings, Inc. </w:t>
      </w:r>
    </w:p>
    <w:p>
      <w:pPr>
        <w:pStyle w:val="TextBody"/>
        <w:bidi w:val="0"/>
        <w:spacing w:before="120" w:after="0"/>
        <w:jc w:val="left"/>
        <w:rPr>
          <w:rFonts w:ascii="Times New Roman" w:hAnsi="Times New Roman"/>
          <w:sz w:val="20"/>
        </w:rPr>
      </w:pPr>
      <w:r>
        <w:rPr>
          <w:rFonts w:ascii="Times New Roman" w:hAnsi="Times New Roman"/>
          <w:sz w:val="20"/>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 w:hAnsi="Times New Roman"/>
          <w:sz w:val="20"/>
          <w:u w:val="single"/>
        </w:rPr>
        <w:t>www.klx.com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and the documents to which the Company refers you to in this release,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businesses, strategies and plans of the Company and its expectations relating to its future financial condition and performance, and the transactions described herein. Statements included in this release that are not historical facts are forward-looking statements, including, without limitation, the Company’s expectations regarding the proposed Rights Offering, including the size, timing, price, and use of proceeds.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forward-looking statements in this release and the information incorporated by reference in this release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including prevailing market conditions, the Company’s ability to launch the Rights Offering as expected, whether holders of record will exercise their rights to purchase Common Stock and the amount subscribed, and whether the Company will be able to successfully complete the Rights Offering, in addition to, without limitation, those risks described under the heading “Risk Factors” in our most recent Annual Report on Form 10-K filed with the SEC, as supplemented by our Quarterly Reports on Form 10-Q or our Current Reports on Form 8-K, and discussed elsewhere in this release, and the information incorporated by reference in this release.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the Company or any person acting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for Investors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filed a registration statement on Form S-3 (Registration No. 333-295905) (including a base prospectus) with the SEC for the offering to which this communication relates, which can be accessed through the following link: https://www.sec.gov/Archives/edgar/data/1738827/ 000119312526224308/d63698ds3.htm. The registration statement was filed on May 14, 2026 and has been declared effective by the SEC. A prospectus supplement relating to the rights offering described herein has not yet been filed with the SEC. When filed, the prospectus supplement will contain the specific terms and conditions of the offering to which this communication relates.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you should read the base prospectus in the registration statement and, when available, the prospectus supplement and other documents the Company has filed or will file with the SEC for more complete information about the Company and the offering to which this communication relates. You may obtain these documents for free by visiting EDGAR on the SEC’s website at www.sec.gov. Alternatively, the Company will arrange to send you the base prospectus and, when available, the prospectus supplement, if you request them by contacting InvestorCom, which will be acting as the information agent for the Rights Offering, at (877) 972-0090, or via email at info@investor-com.com. </w:t>
      </w:r>
    </w:p>
    <w:p>
      <w:pPr>
        <w:pStyle w:val="TextBody"/>
        <w:bidi w:val="0"/>
        <w:spacing w:before="240" w:after="0"/>
        <w:jc w:val="left"/>
        <w:rPr>
          <w:rFonts w:ascii="Times New Roman" w:hAnsi="Times New Roman"/>
          <w:sz w:val="20"/>
        </w:rPr>
      </w:pPr>
      <w:r>
        <w:rPr>
          <w:rFonts w:ascii="Times New Roman" w:hAnsi="Times New Roman"/>
          <w:sz w:val="20"/>
        </w:rPr>
        <w:t xml:space="preserve">Any free writing prospectus that the Company has filed or may file pursuant to Rule 433 under the Securities Act of 1933 relating to the offering to which this communication relates should be read in conjunction with the base prospectus and the prospectus supplement described above, when available.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295</Pages>
  <Words>130118</Words>
  <Characters>686482</Characters>
  <CharactersWithSpaces>817591</CharactersWithSpaces>
  <Paragraphs>5097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