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231140</wp:posOffset>
            </wp:positionH>
            <wp:positionV relativeFrom="page">
              <wp:posOffset>500380</wp:posOffset>
            </wp:positionV>
            <wp:extent cx="70866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5715"/>
                    </a:xfrm>
                    <a:prstGeom prst="rect">
                      <a:avLst/>
                    </a:prstGeom>
                    <a:noFill/>
                  </pic:spPr>
                </pic:pic>
              </a:graphicData>
            </a:graphic>
          </wp:anchor>
        </w:drawing>
        <w:drawing>
          <wp:anchor simplePos="0" relativeHeight="251657728" behindDoc="1" locked="0" layoutInCell="0" allowOverlap="1">
            <wp:simplePos x="0" y="0"/>
            <wp:positionH relativeFrom="page">
              <wp:posOffset>231140</wp:posOffset>
            </wp:positionH>
            <wp:positionV relativeFrom="page">
              <wp:posOffset>454660</wp:posOffset>
            </wp:positionV>
            <wp:extent cx="70866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5715"/>
                    </a:xfrm>
                    <a:prstGeom prst="rect">
                      <a:avLst/>
                    </a:prstGeom>
                    <a:noFill/>
                  </pic:spPr>
                </pic:pic>
              </a:graphicData>
            </a:graphic>
          </wp:anchor>
        </w:drawing>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122555</wp:posOffset>
            </wp:positionV>
            <wp:extent cx="2383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36830</wp:posOffset>
            </wp:positionV>
            <wp:extent cx="2383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30, 2026</w:t>
      </w:r>
    </w:p>
    <w:p>
      <w:pPr>
        <w:spacing w:after="0" w:line="17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_____________________</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KLX ENERGY SERVICES HOLDINGS, INC.</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ind w:left="4960"/>
        <w:spacing w:after="0"/>
        <w:rPr>
          <w:sz w:val="20"/>
          <w:szCs w:val="20"/>
          <w:color w:val="auto"/>
        </w:rPr>
      </w:pPr>
      <w:r>
        <w:rPr>
          <w:rFonts w:ascii="Times New Roman" w:cs="Times New Roman" w:eastAsia="Times New Roman" w:hAnsi="Times New Roman"/>
          <w:sz w:val="13"/>
          <w:szCs w:val="13"/>
          <w:b w:val="1"/>
          <w:bCs w:val="1"/>
          <w:color w:val="auto"/>
        </w:rPr>
        <w:t>_____________________</w:t>
      </w:r>
    </w:p>
    <w:p>
      <w:pPr>
        <w:sectPr>
          <w:pgSz w:w="11900" w:h="16838" w:orient="portrait"/>
          <w:cols w:equalWidth="0" w:num="1">
            <w:col w:w="11300"/>
          </w:cols>
          <w:pgMar w:left="300" w:top="997" w:right="299" w:bottom="1440" w:gutter="0" w:footer="0" w:header="0"/>
        </w:sectPr>
      </w:pPr>
    </w:p>
    <w:p>
      <w:pPr>
        <w:spacing w:after="0" w:line="19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580"/>
        <w:spacing w:after="0"/>
        <w:rPr>
          <w:sz w:val="20"/>
          <w:szCs w:val="20"/>
          <w:color w:val="auto"/>
        </w:rPr>
      </w:pPr>
      <w:r>
        <w:rPr>
          <w:rFonts w:ascii="Times New Roman" w:cs="Times New Roman" w:eastAsia="Times New Roman" w:hAnsi="Times New Roman"/>
          <w:sz w:val="10"/>
          <w:szCs w:val="10"/>
          <w:b w:val="1"/>
          <w:bCs w:val="1"/>
          <w:color w:val="auto"/>
        </w:rPr>
        <w:t>001-38609</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36-4904146</w:t>
      </w:r>
    </w:p>
    <w:p>
      <w:pPr>
        <w:spacing w:after="0" w:line="58" w:lineRule="exact"/>
        <w:rPr>
          <w:sz w:val="24"/>
          <w:szCs w:val="24"/>
          <w:color w:val="auto"/>
        </w:rPr>
      </w:pPr>
    </w:p>
    <w:p>
      <w:pPr>
        <w:sectPr>
          <w:pgSz w:w="11900" w:h="16838" w:orient="portrait"/>
          <w:cols w:equalWidth="0" w:num="3">
            <w:col w:w="4700" w:space="720"/>
            <w:col w:w="3020" w:space="720"/>
            <w:col w:w="2140"/>
          </w:cols>
          <w:pgMar w:left="300" w:top="997" w:right="29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8"/>
          <w:szCs w:val="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p>
      <w:pPr>
        <w:spacing w:after="0" w:line="200" w:lineRule="exact"/>
        <w:rPr>
          <w:sz w:val="24"/>
          <w:szCs w:val="24"/>
          <w:color w:val="auto"/>
        </w:rPr>
      </w:pPr>
    </w:p>
    <w:p>
      <w:pPr>
        <w:sectPr>
          <w:pgSz w:w="11900" w:h="16838" w:orient="portrait"/>
          <w:cols w:equalWidth="0" w:num="3">
            <w:col w:w="4440" w:space="720"/>
            <w:col w:w="2920" w:space="720"/>
            <w:col w:w="2500"/>
          </w:cols>
          <w:pgMar w:left="300" w:top="997" w:right="29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3040 Post Oak Boulevard, 15th Floor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Houston, Texas 77056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(832) 844-1015</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(Registrant’s Telephone Number, Including Area Code)</w:t>
      </w:r>
    </w:p>
    <w:p>
      <w:pPr>
        <w:spacing w:after="0" w:line="7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_____________________</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34" w:lineRule="exact"/>
        <w:rPr>
          <w:rFonts w:ascii="MS PGothic" w:cs="MS PGothic" w:eastAsia="MS PGothic" w:hAnsi="MS PGothic"/>
          <w:sz w:val="13"/>
          <w:szCs w:val="13"/>
          <w:color w:val="auto"/>
        </w:rPr>
      </w:pPr>
    </w:p>
    <w:p>
      <w:pPr>
        <w:ind w:left="440" w:hanging="436"/>
        <w:spacing w:after="0"/>
        <w:tabs>
          <w:tab w:leader="none" w:pos="4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34" w:lineRule="exact"/>
        <w:rPr>
          <w:rFonts w:ascii="MS PGothic" w:cs="MS PGothic" w:eastAsia="MS PGothic" w:hAnsi="MS PGothic"/>
          <w:sz w:val="13"/>
          <w:szCs w:val="13"/>
          <w:color w:val="auto"/>
        </w:rPr>
      </w:pPr>
    </w:p>
    <w:p>
      <w:pPr>
        <w:ind w:left="440" w:hanging="436"/>
        <w:spacing w:after="0"/>
        <w:tabs>
          <w:tab w:leader="none" w:pos="4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34" w:lineRule="exact"/>
        <w:rPr>
          <w:rFonts w:ascii="MS PGothic" w:cs="MS PGothic" w:eastAsia="MS PGothic" w:hAnsi="MS PGothic"/>
          <w:sz w:val="13"/>
          <w:szCs w:val="13"/>
          <w:color w:val="auto"/>
        </w:rPr>
      </w:pPr>
    </w:p>
    <w:p>
      <w:pPr>
        <w:ind w:right="6040" w:firstLine="4"/>
        <w:spacing w:after="0" w:line="452" w:lineRule="auto"/>
        <w:tabs>
          <w:tab w:leader="none" w:pos="43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1"/>
          <w:szCs w:val="11"/>
          <w:color w:val="auto"/>
        </w:rPr>
        <w:t>Pre-commencement communications pursuant to Rule 13e-4(c) under the Exchange Act (17 CFR 240.13e-4(c)) 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09"/>
        </w:trPr>
        <w:tc>
          <w:tcPr>
            <w:tcW w:w="3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Trading</w:t>
            </w:r>
          </w:p>
        </w:tc>
        <w:tc>
          <w:tcPr>
            <w:tcW w:w="37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Name of each exchange</w:t>
            </w:r>
          </w:p>
        </w:tc>
      </w:tr>
      <w:tr>
        <w:trPr>
          <w:trHeight w:val="135"/>
        </w:trPr>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on which registered</w:t>
            </w:r>
          </w:p>
        </w:tc>
      </w:tr>
      <w:tr>
        <w:trPr>
          <w:trHeight w:val="21"/>
        </w:trPr>
        <w:tc>
          <w:tcPr>
            <w:tcW w:w="3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r>
        <w:trPr>
          <w:trHeight w:val="138"/>
        </w:trPr>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Common Stock, $0.01 Par Value</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KLXE</w:t>
            </w:r>
          </w:p>
        </w:tc>
        <w:tc>
          <w:tcPr>
            <w:tcW w:w="3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Global Select Market</w:t>
            </w:r>
          </w:p>
        </w:tc>
      </w:tr>
      <w:tr>
        <w:trPr>
          <w:trHeight w:val="30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_____________________</w:t>
            </w: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0"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1"/>
          <w:szCs w:val="11"/>
          <w:color w:val="auto"/>
        </w:rPr>
        <w:t>Emerging growth company</w:t>
      </w:r>
    </w:p>
    <w:p>
      <w:pPr>
        <w:spacing w:after="0" w:line="38"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716915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7"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351790</wp:posOffset>
            </wp:positionV>
            <wp:extent cx="705802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802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306070</wp:posOffset>
            </wp:positionV>
            <wp:extent cx="705802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8025" cy="5715"/>
                    </a:xfrm>
                    <a:prstGeom prst="rect">
                      <a:avLst/>
                    </a:prstGeom>
                    <a:noFill/>
                  </pic:spPr>
                </pic:pic>
              </a:graphicData>
            </a:graphic>
          </wp:anchor>
        </w:drawing>
        <w:t>Item 2.02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information in Item 7.01 below is hereby incorporated by reference into this Item 2.02.</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7.01 Regulation FD Disclosure.</w:t>
      </w:r>
    </w:p>
    <w:p>
      <w:pPr>
        <w:spacing w:after="0" w:line="16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1"/>
          <w:szCs w:val="11"/>
          <w:color w:val="auto"/>
        </w:rPr>
        <w:t>Furnished as Exhibit 99.1 and incorporated by reference into this Item 7.01 in its entirety is a copy of a presentation that may from time to time be presented by KLX Energy Services Holdings, Inc. (the “Company”) to analysts and investors. The Company also posted the presentation to its website at https://investor.klx.com/events-and-presentations.</w:t>
      </w:r>
    </w:p>
    <w:p>
      <w:pPr>
        <w:spacing w:after="0" w:line="14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1"/>
          <w:szCs w:val="11"/>
          <w:color w:val="auto"/>
        </w:rPr>
        <w:t>The information contained in, or incorporated into, these Items 2.02 and 7.01, including Exhibit 99.1 furnished herewith, is being furnished and shall not be deemed “filed” for the purposes of Section 18 of the Securities Exchange Act of 1934, as amended, or otherwise subject to the liabilities of that section, nor shall it be deemed incorporated by reference into any registration statement or other filing under the Securities Act of 1933, as amended, except as shall be expressly set forth by specific reference to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480" w:type="dxa"/>
            <w:vAlign w:val="bottom"/>
          </w:tcPr>
          <w:p>
            <w:pPr>
              <w:spacing w:after="0"/>
              <w:rPr>
                <w:sz w:val="12"/>
                <w:szCs w:val="12"/>
                <w:color w:val="auto"/>
              </w:rPr>
            </w:pPr>
          </w:p>
        </w:tc>
      </w:tr>
      <w:tr>
        <w:trPr>
          <w:trHeight w:val="165"/>
        </w:trPr>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No.</w:t>
            </w:r>
          </w:p>
        </w:tc>
        <w:tc>
          <w:tcPr>
            <w:tcW w:w="20" w:type="dxa"/>
            <w:vAlign w:val="bottom"/>
          </w:tcPr>
          <w:p>
            <w:pPr>
              <w:spacing w:after="0"/>
              <w:rPr>
                <w:sz w:val="14"/>
                <w:szCs w:val="14"/>
                <w:color w:val="auto"/>
              </w:rPr>
            </w:pPr>
          </w:p>
        </w:tc>
        <w:tc>
          <w:tcPr>
            <w:tcW w:w="1036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118"/>
        </w:trPr>
        <w:tc>
          <w:tcPr>
            <w:tcW w:w="7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1"/>
                <w:szCs w:val="11"/>
                <w:color w:val="auto"/>
              </w:rPr>
              <w:t>99.1</w:t>
            </w:r>
          </w:p>
        </w:tc>
        <w:tc>
          <w:tcPr>
            <w:tcW w:w="1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3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1"/>
                <w:szCs w:val="11"/>
                <w:color w:val="0000FF"/>
              </w:rPr>
              <w:t>Presentation by the Company to investors.*</w:t>
            </w: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165"/>
        </w:trPr>
        <w:tc>
          <w:tcPr>
            <w:tcW w:w="720" w:type="dxa"/>
            <w:vAlign w:val="bottom"/>
          </w:tcPr>
          <w:p>
            <w:pPr>
              <w:spacing w:after="0"/>
              <w:rPr>
                <w:sz w:val="20"/>
                <w:szCs w:val="20"/>
                <w:color w:val="auto"/>
              </w:rPr>
            </w:pPr>
            <w:r>
              <w:rPr>
                <w:rFonts w:ascii="Times New Roman" w:cs="Times New Roman" w:eastAsia="Times New Roman" w:hAnsi="Times New Roman"/>
                <w:sz w:val="11"/>
                <w:szCs w:val="11"/>
                <w:color w:val="auto"/>
              </w:rPr>
              <w:t>104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Cover Page Interactive Data File (embedded within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_____________________</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Pursuant to the requirements of the Securities Exchange Act of 1934, as amended, the registrant has duly caused this report to be signed on its behalf by the undersigned, thereunto duly authorized.</w:t>
      </w:r>
    </w:p>
    <w:p>
      <w:pPr>
        <w:spacing w:after="0" w:line="2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1"/>
          <w:szCs w:val="11"/>
          <w:color w:val="auto"/>
        </w:rPr>
        <w:t>KLX Energy Services Holdings, Inc.</w:t>
      </w:r>
    </w:p>
    <w:p>
      <w:pPr>
        <w:spacing w:after="0" w:line="180" w:lineRule="exact"/>
        <w:rPr>
          <w:sz w:val="20"/>
          <w:szCs w:val="20"/>
          <w:color w:val="auto"/>
        </w:rPr>
      </w:pPr>
    </w:p>
    <w:tbl>
      <w:tblPr>
        <w:tblLayout w:type="fixed"/>
        <w:tblInd w:w="3000" w:type="dxa"/>
        <w:tblCellMar>
          <w:top w:w="0" w:type="dxa"/>
          <w:left w:w="0" w:type="dxa"/>
          <w:bottom w:w="0" w:type="dxa"/>
          <w:right w:w="0" w:type="dxa"/>
        </w:tblCellMar>
      </w:tblPr>
      <w:tr>
        <w:trPr>
          <w:trHeight w:val="147"/>
        </w:trPr>
        <w:tc>
          <w:tcPr>
            <w:tcW w:w="400" w:type="dxa"/>
            <w:vAlign w:val="bottom"/>
          </w:tcPr>
          <w:p>
            <w:pPr>
              <w:spacing w:after="0"/>
              <w:rPr>
                <w:sz w:val="20"/>
                <w:szCs w:val="20"/>
                <w:color w:val="auto"/>
              </w:rPr>
            </w:pPr>
            <w:r>
              <w:rPr>
                <w:rFonts w:ascii="Times New Roman" w:cs="Times New Roman" w:eastAsia="Times New Roman" w:hAnsi="Times New Roman"/>
                <w:sz w:val="11"/>
                <w:szCs w:val="11"/>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Geoffrey C. Stanford</w:t>
            </w:r>
          </w:p>
        </w:tc>
      </w:tr>
      <w:tr>
        <w:trPr>
          <w:trHeight w:val="145"/>
        </w:trPr>
        <w:tc>
          <w:tcPr>
            <w:tcW w:w="40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Geoffrey Stanford</w:t>
            </w:r>
          </w:p>
        </w:tc>
      </w:tr>
      <w:tr>
        <w:trPr>
          <w:trHeight w:val="148"/>
        </w:trPr>
        <w:tc>
          <w:tcPr>
            <w:tcW w:w="400" w:type="dxa"/>
            <w:vAlign w:val="bottom"/>
          </w:tcPr>
          <w:p>
            <w:pPr>
              <w:spacing w:after="0"/>
              <w:rPr>
                <w:sz w:val="12"/>
                <w:szCs w:val="12"/>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Senior Vice President, Interim Chief Financial Officer and Chief</w:t>
            </w:r>
          </w:p>
        </w:tc>
      </w:tr>
      <w:tr>
        <w:trPr>
          <w:trHeight w:val="149"/>
        </w:trPr>
        <w:tc>
          <w:tcPr>
            <w:tcW w:w="400" w:type="dxa"/>
            <w:vAlign w:val="bottom"/>
          </w:tcPr>
          <w:p>
            <w:pPr>
              <w:spacing w:after="0"/>
              <w:rPr>
                <w:sz w:val="20"/>
                <w:szCs w:val="20"/>
                <w:color w:val="auto"/>
              </w:rPr>
            </w:pPr>
            <w:r>
              <w:rPr>
                <w:rFonts w:ascii="Times New Roman" w:cs="Times New Roman" w:eastAsia="Times New Roman" w:hAnsi="Times New Roman"/>
                <w:sz w:val="11"/>
                <w:szCs w:val="11"/>
                <w:color w:val="auto"/>
              </w:rPr>
              <w:t>Title:</w:t>
            </w:r>
          </w:p>
        </w:tc>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Accounting Officer</w:t>
            </w:r>
          </w:p>
        </w:tc>
      </w:tr>
      <w:tr>
        <w:trPr>
          <w:trHeight w:val="162"/>
        </w:trPr>
        <w:tc>
          <w:tcPr>
            <w:tcW w:w="40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June 30, 2026</w:t>
            </w:r>
          </w:p>
        </w:tc>
      </w:tr>
    </w:tbl>
    <w:p>
      <w:pPr>
        <w:sectPr>
          <w:pgSz w:w="11900" w:h="16838" w:orient="portrait"/>
          <w:cols w:equalWidth="0" w:num="1">
            <w:col w:w="10159"/>
          </w:cols>
          <w:pgMar w:left="300" w:top="45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2026-06-30T08:14:32Z</dcterms:created>
  <dcterms:modified xsi:type="dcterms:W3CDTF">2026-06-30T08:14:32Z</dcterms:modified>
</cp:coreProperties>
</file>