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75366dfwp.htm"/>
      <w:bookmarkStart w:id="1" w:name="ksd175366dfwp"/>
      <w:bookmarkEnd w:id="0"/>
      <w:bookmarkEnd w:id="1"/>
      <w:r>
        <w:rPr>
          <w:rFonts w:ascii="Times New Roman" w:hAnsi="Times New Roman"/>
          <w:sz w:val="20"/>
        </w:rPr>
        <w:t xml:space="preserve">Issuer 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Dated August 10, 2026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333-295905 </w:t>
      </w:r>
    </w:p>
    <w:p>
      <w:pPr>
        <w:pStyle w:val="TextBody"/>
        <w:bidi w:val="0"/>
        <w:spacing w:before="0" w:after="0"/>
        <w:jc w:val="left"/>
        <w:rPr/>
      </w:pPr>
      <w:r>
        <w:rPr/>
        <w:t> </w:t>
      </w:r>
    </w:p>
    <w:p>
      <w:pPr>
        <w:pStyle w:val="TextBody"/>
        <w:bidi w:val="0"/>
        <w:spacing w:before="0" w:after="0"/>
        <w:jc w:val="center"/>
        <w:rPr/>
      </w:pPr>
      <w:r>
        <w:rPr/>
        <w:drawing>
          <wp:inline distT="0" distB="0" distL="0" distR="0">
            <wp:extent cx="6305550" cy="1781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05550" cy="17811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Announces $125 Million Rights Offering for Common </w:t>
      </w:r>
    </w:p>
    <w:p>
      <w:pPr>
        <w:pStyle w:val="TextBody"/>
        <w:bidi w:val="0"/>
        <w:spacing w:before="0" w:after="0"/>
        <w:jc w:val="center"/>
        <w:rPr>
          <w:rFonts w:ascii="Times New Roman" w:hAnsi="Times New Roman"/>
          <w:b/>
          <w:sz w:val="20"/>
        </w:rPr>
      </w:pPr>
      <w:r>
        <w:rPr>
          <w:rFonts w:ascii="Times New Roman" w:hAnsi="Times New Roman"/>
          <w:b/>
          <w:sz w:val="20"/>
        </w:rPr>
        <w:t xml:space="preserve">Stock Backstopped For Up to $94 Million to Reduce Leverage </w:t>
      </w:r>
    </w:p>
    <w:p>
      <w:pPr>
        <w:pStyle w:val="TextBody"/>
        <w:bidi w:val="0"/>
        <w:spacing w:before="240" w:after="0"/>
        <w:jc w:val="left"/>
        <w:rPr>
          <w:rFonts w:ascii="Times New Roman" w:hAnsi="Times New Roman"/>
          <w:sz w:val="20"/>
        </w:rPr>
      </w:pPr>
      <w:r>
        <w:rPr>
          <w:rFonts w:ascii="Times New Roman" w:hAnsi="Times New Roman"/>
          <w:b/>
          <w:sz w:val="20"/>
        </w:rPr>
        <w:t>HOUSTON, TX – August</w:t>
      </w:r>
      <w:r>
        <w:rPr>
          <w:rFonts w:ascii="Times New Roman" w:hAnsi="Times New Roman"/>
          <w:sz w:val="20"/>
        </w:rPr>
        <w:t> </w:t>
      </w:r>
      <w:r>
        <w:rPr>
          <w:rFonts w:ascii="Times New Roman" w:hAnsi="Times New Roman"/>
          <w:b/>
          <w:sz w:val="20"/>
        </w:rPr>
        <w:t>10, 2026 - KLX Energy Services Holdings, Inc. (NASDAQ: KLXE)</w:t>
      </w:r>
      <w:r>
        <w:rPr>
          <w:rFonts w:ascii="Times New Roman" w:hAnsi="Times New Roman"/>
          <w:sz w:val="20"/>
        </w:rPr>
        <w:t xml:space="preserve"> (“KLX” or the “Company”) announced today that the Company’s Board of Directors has approved a $125 million backstopped rights offering (the “Rights Offering”) available to all holders of record of the Company’s common stock, par value $0.01 per share (“Common Stock”), as of 5:00 p.m., New York City time, on August 21, 2026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will be made through a distribution to all holders of record of Common Stock as of the Record Date of transferable subscription rights to purchase shares of Common Stock at a subscription price of $1.49 per share (the “Subscription Price”). Each holder of record of Common Stock as of the Record Date will receive one subscription right for each share of Common Stock owned (each, a “Right”). Each Right will entitle the holder to purchase 3.885 shares of Common Stock at the Subscription Price per share.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The Rights Offering is currently expected to commence on August 24, 2026, and expire at 5:00 p.m., New York City time, on September 23, 2026 (the “Expiration Date”). The rights being issued in the offering are expected to be listed for trading on The Nasdaq Stock Market LLC under the symbol “KLXER” and therefore will be transferable.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is backstopped by the existing holders (the “Backstop Parties”) of the Company’s Senior Secured Floating Rate Cash / PIK Notes due 2030 (the “2030 Notes”) in an aggregate backstop commitment amount of $94.0 million pursuant to a rights offering backstop agreement (the “Backstop Agreement”), with each individual Backstop Party subject to an aggregate 30% ownership limitation on a pro forma fully diluted basis. The backstop commitment may be increased up to $125.0 million if the Backstop Parties elect to increase their backstop commitment amounts prior to August 21, 2026. The Backstop Parties have committed to purchase, to the extent any shares of Common Stock remain unsubscribed following the exercise of any Rights and Over-Subscription Rights (as defined below) in the Rights Offering, their respective backstop commitment amounts through an exchange of their 2030 Notes (at 100% of the principal amount thereof plus accrued and unpaid interest) for shares of Common Stock at the Subscription Price (the “Backstop Exchange”). Upon completion of the Backstop Exchange, the outstanding principal amount of the 2030 Notes is expected to be reduced by $94.0 million as a result of the combination of par redemptions from any excess proceeds in the Rights Offering and the exchange of 2030 Notes for Common Stock in the Backstop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any net cash proceeds it receives in connection with the Rights Offering up to $31.0 million for general corporate purposes, and for any amounts over $31.0 million, the Company intends to repurchase 2030 Notes at par, which is permitted under the Backstop Agreement. For shares purchased by Backstop Parties pursuant to the Backstop Exchange, the Company will cancel a principal amount of such Backstop Party’s outstanding 2030 Notes equal to the applicable backstop commitment amount.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Backstop Exchange, the Company will enter into an amended and restated indenture governing the 2030 Notes (the “Amended and Restated Indenture”). The Amended and Restated Indenture provides the Company with additional operating and strategic flexibility and includes, among other things, the following benefits: (i) resets the total net leverage ratio maintenance covenant step-down schedule to provide additional runway to reduce leverage, (ii) relaxes the total net leverage ratio incurrence test for additional indebtedness from 2.50:1.00 to 3.00:1.00, (iii) permanently excludes capital lease obligations from the definition of “Indebtedness” for purposes of calculating financial maintenance covenant compliance, secured net leverage ratio, and any incurrence based test, ratio, or basket, (iv) increases the basket for indebtedness in respect of purchase money obligations and capital lease obligations from $75.0 million to $85.0 million, and (v) provides for par redemption of 2030 Notes in connection with the Backstop Exchange and excludes Rights Offering redemption proceeds from the excess cash flow sweep. In addition, the Amended and Restated Indenture resets the make-whole expiry date to two years from the effective date of the Amended and Restated Indenture and reduces the premium from 102% to 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Offering will include an over-subscription privilege to permit each rights holder that exercises its subscription rights in full to purchase additional shares of Common Stock (if any) that remain unsubscribed on the Expiration Date (the “Over-Subscription Right”). The availability of the over-subscription privilege will be subject to certain terms and restrictions to be set forth in the prospectus supplement, including that no holder will be entitled to exercise subscription rights (including any Over-Subscription Rights) in the Rights Offering to the extent such exercise would result in such holder, together with its affiliates and any persons acting in concert with such holder, beneficially owning more than 9.995% of the Company’s outstanding Common Stock on a pro forma basis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will be made pursuant to the Company’s existing effective shelf registration statement on Form S-3 (Reg. No. 333-295905) on file with the Securities and Exchange Commission (the “SEC”) and a prospectus supplement (and the accompanying base prospectus) to be filed with the SEC prior to the commencement of the Rights Offering. The Company reserves the right to extend, amend or terminate the planned Rights Offering, subject to certain conditions, at any time. The information herein is not complete and is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Vinson &amp; Elkins LLP served as legal counsel to the Company in connection with the transactions described herein. Perella Weinberg Partners served as financial advisor to the Company in connection with the transactions described herein. White &amp; Case LLP served as legal counsel to the Backstop Parties in connection with the transactions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About KLX Energy Services Holdings, Inc. </w:t>
      </w:r>
    </w:p>
    <w:p>
      <w:pPr>
        <w:pStyle w:val="TextBody"/>
        <w:bidi w:val="0"/>
        <w:spacing w:before="120" w:after="0"/>
        <w:jc w:val="left"/>
        <w:rPr>
          <w:rFonts w:ascii="Times New Roman" w:hAnsi="Times New Roman"/>
          <w:sz w:val="20"/>
        </w:rPr>
      </w:pPr>
      <w:r>
        <w:rPr>
          <w:rFonts w:ascii="Times New Roman" w:hAnsi="Times New Roman"/>
          <w:sz w:val="20"/>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hAnsi="Times New Roman"/>
          <w:sz w:val="20"/>
          <w:u w:val="single"/>
        </w:rPr>
        <w:t>www.klx.com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and the documents to which the Company refers you to in this release,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and the transactions described herein. Statements included in this release that are not historical facts are forward-looking statements, including, without limitation, the Company’s expectations regarding the proposed Rights Offering, including the size, timing, price, and use of proceeds.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including prevailing market conditions, the Company’s ability to launch the Rights Offering as expected, whether holders of record will exercise their rights to purchase Common Stock and the amount subscribed, and whether the Company will be able to successfully complete the Rights Offering, in addition to,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for Investors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filed a registration statement on Form S-3 (Registration No. 333-295905) (including a base prospectus) with the SEC for the offering to which this communication relates, which can be accessed through the following link: https://www.sec.gov/Archives/edgar/data/1738827/000119312526224308/d63698ds3.htm. The registration statement was filed on May 14, 2026 and has been declared effective by the SEC. A prospectus supplement relating to the rights offering described herein has not yet been filed with the SEC. When filed, the prospectus supplement will contain the specific terms and conditions of the offering to which this communication relates.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you should read the base prospectus in the registration statement and, when available, the prospectus supplement and other documents the Company has filed or will file with the SEC for more complete information about the Company and the offering to which this communication relates. You may obtain these documents for free by visiting EDGAR on the SEC’s website at www.sec.gov. Alternatively, the Company will arrange to send you the base prospectus and, when available, the prospectus supplement, if you request them by contacting InvestorCom, which will be acting as the information agent for the Rights Offering, at (877) 972-0090, or via email at info@investor-com.com. </w:t>
      </w:r>
    </w:p>
    <w:p>
      <w:pPr>
        <w:pStyle w:val="TextBody"/>
        <w:bidi w:val="0"/>
        <w:spacing w:before="240" w:after="0"/>
        <w:jc w:val="left"/>
        <w:rPr>
          <w:rFonts w:ascii="Times New Roman" w:hAnsi="Times New Roman"/>
          <w:sz w:val="20"/>
        </w:rPr>
      </w:pPr>
      <w:r>
        <w:rPr>
          <w:rFonts w:ascii="Times New Roman" w:hAnsi="Times New Roman"/>
          <w:sz w:val="20"/>
        </w:rPr>
        <w:t xml:space="preserve">Any free writing prospectus that the Company has filed or may file pursuant to Rule 433 under the Securities Act of 1933 relating to the offering to which this communication relates should be read in conjunction with the base prospectus and the prospectus supplement described above, when available.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1946</Words>
  <Characters>10935</Characters>
  <CharactersWithSpaces>12884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